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6A4D" w14:textId="77777777" w:rsidR="004A2595" w:rsidRDefault="004A2595" w:rsidP="004A2595">
      <w:pPr>
        <w:ind w:left="360"/>
        <w:rPr>
          <w:rFonts w:ascii="Helvetica" w:hAnsi="Helvetica" w:cs="Helvetica"/>
          <w:b/>
          <w:bCs/>
        </w:rPr>
      </w:pPr>
      <w:r>
        <w:rPr>
          <w:rFonts w:ascii="Helvetica" w:hAnsi="Helvetica" w:cs="Helvetica"/>
          <w:b/>
          <w:bCs/>
          <w:noProof/>
        </w:rPr>
        <w:drawing>
          <wp:anchor distT="0" distB="0" distL="114300" distR="114300" simplePos="0" relativeHeight="251659264" behindDoc="0" locked="0" layoutInCell="1" allowOverlap="1" wp14:anchorId="7C082BCD" wp14:editId="553BCB00">
            <wp:simplePos x="0" y="0"/>
            <wp:positionH relativeFrom="column">
              <wp:posOffset>0</wp:posOffset>
            </wp:positionH>
            <wp:positionV relativeFrom="paragraph">
              <wp:posOffset>273050</wp:posOffset>
            </wp:positionV>
            <wp:extent cx="666750" cy="668020"/>
            <wp:effectExtent l="0" t="0" r="0" b="0"/>
            <wp:wrapTopAndBottom/>
            <wp:docPr id="5424056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0561" name="Picture 2"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anchor>
        </w:drawing>
      </w:r>
    </w:p>
    <w:p w14:paraId="1AE834DB" w14:textId="3B575E74" w:rsidR="0013579B" w:rsidRPr="0079360F" w:rsidRDefault="0013579B" w:rsidP="004A2595">
      <w:pPr>
        <w:ind w:left="360"/>
        <w:jc w:val="center"/>
        <w:rPr>
          <w:rFonts w:ascii="Helvetica" w:hAnsi="Helvetica" w:cs="Helvetica"/>
        </w:rPr>
      </w:pPr>
      <w:r w:rsidRPr="0079360F">
        <w:rPr>
          <w:rFonts w:ascii="Helvetica" w:hAnsi="Helvetica" w:cs="Helvetica"/>
          <w:b/>
          <w:bCs/>
        </w:rPr>
        <w:t>ETS IT System Quality Assurance Program</w:t>
      </w:r>
    </w:p>
    <w:p w14:paraId="2556FB0A" w14:textId="61647F70" w:rsidR="0013579B" w:rsidRPr="0079360F" w:rsidRDefault="0013579B" w:rsidP="0013579B">
      <w:pPr>
        <w:ind w:left="360"/>
        <w:rPr>
          <w:rFonts w:ascii="Helvetica" w:hAnsi="Helvetica" w:cs="Helvetica"/>
        </w:rPr>
      </w:pPr>
      <w:r w:rsidRPr="0079360F">
        <w:rPr>
          <w:rFonts w:ascii="Helvetica" w:hAnsi="Helvetica" w:cs="Helvetica"/>
        </w:rPr>
        <w:t xml:space="preserve">The purpose of the State of Hawaii Enterprise Technology Services Information Technology System Quality Assurance Program is to provide State-wide QA Standards to </w:t>
      </w:r>
    </w:p>
    <w:p w14:paraId="64B7282C" w14:textId="4545B3B4" w:rsidR="00A32342" w:rsidRPr="0079360F" w:rsidRDefault="00A32342" w:rsidP="0013579B">
      <w:pPr>
        <w:pStyle w:val="ListParagraph"/>
        <w:numPr>
          <w:ilvl w:val="0"/>
          <w:numId w:val="3"/>
        </w:numPr>
        <w:rPr>
          <w:rFonts w:ascii="Helvetica" w:hAnsi="Helvetica" w:cs="Helvetica"/>
        </w:rPr>
      </w:pPr>
      <w:r w:rsidRPr="0079360F">
        <w:rPr>
          <w:rFonts w:ascii="Helvetica" w:hAnsi="Helvetica" w:cs="Helvetica"/>
        </w:rPr>
        <w:t>Encourage the use of best practices for IT System</w:t>
      </w:r>
      <w:r w:rsidR="00B16650" w:rsidRPr="0079360F">
        <w:rPr>
          <w:rFonts w:ascii="Helvetica" w:hAnsi="Helvetica" w:cs="Helvetica"/>
        </w:rPr>
        <w:t>s</w:t>
      </w:r>
      <w:r w:rsidR="0097267A" w:rsidRPr="0079360F">
        <w:rPr>
          <w:rFonts w:ascii="Helvetica" w:hAnsi="Helvetica" w:cs="Helvetica"/>
        </w:rPr>
        <w:t xml:space="preserve"> in development and operation</w:t>
      </w:r>
    </w:p>
    <w:p w14:paraId="416004A3" w14:textId="19AA2613" w:rsidR="0013579B" w:rsidRPr="0079360F" w:rsidRDefault="00C85306" w:rsidP="0013579B">
      <w:pPr>
        <w:pStyle w:val="ListParagraph"/>
        <w:numPr>
          <w:ilvl w:val="0"/>
          <w:numId w:val="3"/>
        </w:numPr>
        <w:rPr>
          <w:rFonts w:ascii="Helvetica" w:hAnsi="Helvetica" w:cs="Helvetica"/>
        </w:rPr>
      </w:pPr>
      <w:r w:rsidRPr="0079360F">
        <w:rPr>
          <w:rFonts w:ascii="Helvetica" w:hAnsi="Helvetica" w:cs="Helvetica"/>
        </w:rPr>
        <w:t>I</w:t>
      </w:r>
      <w:r w:rsidR="0013579B" w:rsidRPr="0079360F">
        <w:rPr>
          <w:rFonts w:ascii="Helvetica" w:hAnsi="Helvetica" w:cs="Helvetica"/>
        </w:rPr>
        <w:t>mprove the success rate of Design, Development, and Implementation (DD&amp;I) of new state IT systems</w:t>
      </w:r>
      <w:r w:rsidRPr="0079360F">
        <w:rPr>
          <w:rFonts w:ascii="Helvetica" w:hAnsi="Helvetica" w:cs="Helvetica"/>
        </w:rPr>
        <w:t>;</w:t>
      </w:r>
      <w:r w:rsidR="0013579B" w:rsidRPr="0079360F">
        <w:rPr>
          <w:rFonts w:ascii="Helvetica" w:hAnsi="Helvetica" w:cs="Helvetica"/>
        </w:rPr>
        <w:t xml:space="preserve"> </w:t>
      </w:r>
    </w:p>
    <w:p w14:paraId="20201312" w14:textId="44F68DD9" w:rsidR="0013579B" w:rsidRPr="0079360F" w:rsidRDefault="00C85306" w:rsidP="0013579B">
      <w:pPr>
        <w:pStyle w:val="ListParagraph"/>
        <w:numPr>
          <w:ilvl w:val="0"/>
          <w:numId w:val="3"/>
        </w:numPr>
        <w:rPr>
          <w:rFonts w:ascii="Helvetica" w:hAnsi="Helvetica" w:cs="Helvetica"/>
        </w:rPr>
      </w:pPr>
      <w:r w:rsidRPr="0079360F">
        <w:rPr>
          <w:rFonts w:ascii="Helvetica" w:hAnsi="Helvetica" w:cs="Helvetica"/>
        </w:rPr>
        <w:t>E</w:t>
      </w:r>
      <w:r w:rsidR="0013579B" w:rsidRPr="0079360F">
        <w:rPr>
          <w:rFonts w:ascii="Helvetica" w:hAnsi="Helvetica" w:cs="Helvetica"/>
        </w:rPr>
        <w:t xml:space="preserve">nsure production systems continue to be reliable, effective and secure in </w:t>
      </w:r>
      <w:r w:rsidR="00B16650" w:rsidRPr="0079360F">
        <w:rPr>
          <w:rFonts w:ascii="Helvetica" w:hAnsi="Helvetica" w:cs="Helvetica"/>
        </w:rPr>
        <w:t>m</w:t>
      </w:r>
      <w:r w:rsidR="0013579B" w:rsidRPr="0079360F">
        <w:rPr>
          <w:rFonts w:ascii="Helvetica" w:hAnsi="Helvetica" w:cs="Helvetica"/>
        </w:rPr>
        <w:t xml:space="preserve">aintenance and </w:t>
      </w:r>
      <w:r w:rsidR="00B16650" w:rsidRPr="0079360F">
        <w:rPr>
          <w:rFonts w:ascii="Helvetica" w:hAnsi="Helvetica" w:cs="Helvetica"/>
        </w:rPr>
        <w:t>o</w:t>
      </w:r>
      <w:r w:rsidR="0013579B" w:rsidRPr="0079360F">
        <w:rPr>
          <w:rFonts w:ascii="Helvetica" w:hAnsi="Helvetica" w:cs="Helvetica"/>
        </w:rPr>
        <w:t>perations (M&amp;O)</w:t>
      </w:r>
      <w:r w:rsidRPr="0079360F">
        <w:rPr>
          <w:rFonts w:ascii="Helvetica" w:hAnsi="Helvetica" w:cs="Helvetica"/>
        </w:rPr>
        <w:t>;</w:t>
      </w:r>
      <w:r w:rsidR="00F82530" w:rsidRPr="0079360F">
        <w:rPr>
          <w:rFonts w:ascii="Helvetica" w:hAnsi="Helvetica" w:cs="Helvetica"/>
        </w:rPr>
        <w:t xml:space="preserve"> and</w:t>
      </w:r>
    </w:p>
    <w:p w14:paraId="2849B76E" w14:textId="60E74B83" w:rsidR="00F82530" w:rsidRPr="0079360F" w:rsidRDefault="00C85306" w:rsidP="0013579B">
      <w:pPr>
        <w:pStyle w:val="ListParagraph"/>
        <w:numPr>
          <w:ilvl w:val="0"/>
          <w:numId w:val="3"/>
        </w:numPr>
        <w:rPr>
          <w:rFonts w:ascii="Helvetica" w:hAnsi="Helvetica" w:cs="Helvetica"/>
        </w:rPr>
      </w:pPr>
      <w:r w:rsidRPr="0079360F">
        <w:rPr>
          <w:rFonts w:ascii="Helvetica" w:hAnsi="Helvetica" w:cs="Helvetica"/>
        </w:rPr>
        <w:t>P</w:t>
      </w:r>
      <w:r w:rsidR="00F82530" w:rsidRPr="0079360F">
        <w:rPr>
          <w:rFonts w:ascii="Helvetica" w:hAnsi="Helvetica" w:cs="Helvetica"/>
        </w:rPr>
        <w:t>lan for updates, upgrades or replacement of systems in a timely</w:t>
      </w:r>
      <w:r w:rsidR="00716ACE" w:rsidRPr="0079360F">
        <w:rPr>
          <w:rFonts w:ascii="Helvetica" w:hAnsi="Helvetica" w:cs="Helvetica"/>
        </w:rPr>
        <w:t xml:space="preserve"> and appropriate</w:t>
      </w:r>
      <w:r w:rsidR="00F82530" w:rsidRPr="0079360F">
        <w:rPr>
          <w:rFonts w:ascii="Helvetica" w:hAnsi="Helvetica" w:cs="Helvetica"/>
        </w:rPr>
        <w:t xml:space="preserve"> manner.</w:t>
      </w:r>
    </w:p>
    <w:p w14:paraId="70D218E7" w14:textId="77777777" w:rsidR="008B1F30" w:rsidRDefault="00017132" w:rsidP="00017132">
      <w:pPr>
        <w:ind w:left="360"/>
        <w:rPr>
          <w:rFonts w:ascii="Helvetica" w:hAnsi="Helvetica" w:cs="Helvetica"/>
        </w:rPr>
      </w:pPr>
      <w:r w:rsidRPr="0079360F">
        <w:rPr>
          <w:rFonts w:ascii="Helvetica" w:hAnsi="Helvetica" w:cs="Helvetica"/>
        </w:rPr>
        <w:t xml:space="preserve">Implementation of the QAP </w:t>
      </w:r>
      <w:r w:rsidR="001E7B4E" w:rsidRPr="0079360F">
        <w:rPr>
          <w:rFonts w:ascii="Helvetica" w:hAnsi="Helvetica" w:cs="Helvetica"/>
        </w:rPr>
        <w:t>is</w:t>
      </w:r>
      <w:r w:rsidR="00D902A6" w:rsidRPr="0079360F">
        <w:rPr>
          <w:rFonts w:ascii="Helvetica" w:hAnsi="Helvetica" w:cs="Helvetica"/>
        </w:rPr>
        <w:t xml:space="preserve"> </w:t>
      </w:r>
      <w:r w:rsidR="00365E0B" w:rsidRPr="0079360F">
        <w:rPr>
          <w:rFonts w:ascii="Helvetica" w:hAnsi="Helvetica" w:cs="Helvetica"/>
        </w:rPr>
        <w:t>tailored</w:t>
      </w:r>
      <w:r w:rsidR="00D902A6" w:rsidRPr="0079360F">
        <w:rPr>
          <w:rFonts w:ascii="Helvetica" w:hAnsi="Helvetica" w:cs="Helvetica"/>
        </w:rPr>
        <w:t xml:space="preserve"> based on the </w:t>
      </w:r>
      <w:r w:rsidR="00926F27" w:rsidRPr="0079360F">
        <w:rPr>
          <w:rFonts w:ascii="Helvetica" w:hAnsi="Helvetica" w:cs="Helvetica"/>
        </w:rPr>
        <w:t xml:space="preserve">cost, </w:t>
      </w:r>
      <w:r w:rsidR="00D902A6" w:rsidRPr="0079360F">
        <w:rPr>
          <w:rFonts w:ascii="Helvetica" w:hAnsi="Helvetica" w:cs="Helvetica"/>
        </w:rPr>
        <w:t>duration, complexity</w:t>
      </w:r>
      <w:r w:rsidR="00926F27" w:rsidRPr="0079360F">
        <w:rPr>
          <w:rFonts w:ascii="Helvetica" w:hAnsi="Helvetica" w:cs="Helvetica"/>
        </w:rPr>
        <w:t xml:space="preserve"> and</w:t>
      </w:r>
      <w:r w:rsidR="00D902A6" w:rsidRPr="0079360F">
        <w:rPr>
          <w:rFonts w:ascii="Helvetica" w:hAnsi="Helvetica" w:cs="Helvetica"/>
        </w:rPr>
        <w:t xml:space="preserve"> business impact of a system.</w:t>
      </w:r>
      <w:r w:rsidR="00AC278F" w:rsidRPr="00AC278F">
        <w:rPr>
          <w:rFonts w:ascii="Helvetica" w:hAnsi="Helvetica" w:cs="Helvetica"/>
        </w:rPr>
        <w:t xml:space="preserve"> </w:t>
      </w:r>
    </w:p>
    <w:p w14:paraId="5C8B7C45" w14:textId="77777777" w:rsidR="003A59B1" w:rsidRDefault="003A59B1" w:rsidP="00017132">
      <w:pPr>
        <w:ind w:left="360"/>
        <w:rPr>
          <w:rFonts w:ascii="Helvetica" w:hAnsi="Helvetica" w:cs="Helvetica"/>
        </w:rPr>
      </w:pPr>
    </w:p>
    <w:p w14:paraId="27EA7B1B" w14:textId="2F6C825E" w:rsidR="0083536C" w:rsidRDefault="00AC278F" w:rsidP="00017132">
      <w:pPr>
        <w:ind w:left="360"/>
        <w:rPr>
          <w:rFonts w:ascii="Helvetica" w:hAnsi="Helvetica" w:cs="Helvetica"/>
        </w:rPr>
      </w:pPr>
      <w:r w:rsidRPr="0079360F">
        <w:rPr>
          <w:rFonts w:ascii="Helvetica" w:hAnsi="Helvetica" w:cs="Helvetica"/>
        </w:rPr>
        <w:t>QA Program Elements Currently in Place</w:t>
      </w:r>
    </w:p>
    <w:p w14:paraId="273E88A0" w14:textId="77777777" w:rsidR="003A59B1" w:rsidRPr="0079360F" w:rsidRDefault="003A59B1" w:rsidP="00017132">
      <w:pPr>
        <w:ind w:left="360"/>
        <w:rPr>
          <w:rFonts w:ascii="Helvetica" w:hAnsi="Helvetica" w:cs="Helvetica"/>
        </w:rPr>
      </w:pPr>
    </w:p>
    <w:p w14:paraId="08AA70FE" w14:textId="606EE08B" w:rsidR="0013579B" w:rsidRPr="0079360F" w:rsidRDefault="00AC278F" w:rsidP="0013579B">
      <w:pPr>
        <w:numPr>
          <w:ilvl w:val="0"/>
          <w:numId w:val="1"/>
        </w:numPr>
        <w:rPr>
          <w:rFonts w:ascii="Helvetica" w:hAnsi="Helvetica" w:cs="Helvetica"/>
        </w:rPr>
      </w:pPr>
      <w:r>
        <w:rPr>
          <w:rFonts w:ascii="Helvetica" w:hAnsi="Helvetica" w:cs="Helvetica"/>
        </w:rPr>
        <w:t>Strategy and Governance (SG)</w:t>
      </w:r>
    </w:p>
    <w:p w14:paraId="1F423F5E" w14:textId="5BC57D6F" w:rsidR="003D306F" w:rsidRDefault="0000495F" w:rsidP="003D306F">
      <w:pPr>
        <w:numPr>
          <w:ilvl w:val="1"/>
          <w:numId w:val="1"/>
        </w:numPr>
        <w:rPr>
          <w:rFonts w:ascii="Helvetica" w:hAnsi="Helvetica" w:cs="Helvetica"/>
        </w:rPr>
      </w:pPr>
      <w:r>
        <w:rPr>
          <w:rFonts w:ascii="Helvetica" w:hAnsi="Helvetica" w:cs="Helvetica"/>
        </w:rPr>
        <w:t xml:space="preserve">SG1: </w:t>
      </w:r>
      <w:r w:rsidR="0013579B" w:rsidRPr="0079360F">
        <w:rPr>
          <w:rFonts w:ascii="Helvetica" w:hAnsi="Helvetica" w:cs="Helvetica"/>
        </w:rPr>
        <w:t>IT Strategy and Governance Process &amp; Program Approval Committee</w:t>
      </w:r>
      <w:r w:rsidR="001E7B4E" w:rsidRPr="0079360F">
        <w:rPr>
          <w:rFonts w:ascii="Helvetica" w:hAnsi="Helvetica" w:cs="Helvetica"/>
        </w:rPr>
        <w:t xml:space="preserve"> (PAC) - ETS’ IT Governance (ITG) assists the CIO with developing, implementing, and managing statewide information technology governance. ETS’ IT Governance implements and coordinates the governance process required by the </w:t>
      </w:r>
      <w:hyperlink r:id="rId9" w:history="1">
        <w:r w:rsidR="001E7B4E" w:rsidRPr="0079360F">
          <w:rPr>
            <w:rFonts w:ascii="Helvetica" w:hAnsi="Helvetica" w:cs="Helvetica"/>
            <w:color w:val="4472C4" w:themeColor="accent1"/>
            <w:u w:val="single"/>
          </w:rPr>
          <w:t>Administrative Directive No. 18-03 – Program Governance and IV&amp;V Requirements for Enterprise IT Projects</w:t>
        </w:r>
      </w:hyperlink>
      <w:r w:rsidR="001E7B4E" w:rsidRPr="0079360F">
        <w:rPr>
          <w:rFonts w:ascii="Helvetica" w:hAnsi="Helvetica" w:cs="Helvetica"/>
        </w:rPr>
        <w:t>. The</w:t>
      </w:r>
      <w:r w:rsidR="001E7B4E" w:rsidRPr="0079360F">
        <w:rPr>
          <w:rFonts w:ascii="Helvetica" w:hAnsi="Helvetica" w:cs="Helvetica"/>
          <w:color w:val="333333"/>
        </w:rPr>
        <w:t xml:space="preserve"> state’s IT project portfolio governance consists of project phase review gates to ensure project execution and associated expenditures are sufficiently evaluated and receive approval by the appropriate state governing bodies.</w:t>
      </w:r>
      <w:r w:rsidR="001E7B4E" w:rsidRPr="0079360F">
        <w:rPr>
          <w:rFonts w:ascii="Helvetica" w:hAnsi="Helvetica" w:cs="Helvetica"/>
        </w:rPr>
        <w:t xml:space="preserve"> More information is available on the ETS website at </w:t>
      </w:r>
      <w:hyperlink r:id="rId10" w:history="1">
        <w:r w:rsidR="001E7B4E" w:rsidRPr="0079360F">
          <w:rPr>
            <w:rStyle w:val="Hyperlink"/>
            <w:rFonts w:ascii="Helvetica" w:hAnsi="Helvetica" w:cs="Helvetica"/>
          </w:rPr>
          <w:t>Office of Enterprise Technology Services | IT Governance (hawaii.gov)</w:t>
        </w:r>
      </w:hyperlink>
      <w:r w:rsidR="001E7B4E" w:rsidRPr="0079360F">
        <w:rPr>
          <w:rFonts w:ascii="Helvetica" w:hAnsi="Helvetica" w:cs="Helvetica"/>
        </w:rPr>
        <w:t>.</w:t>
      </w:r>
      <w:r w:rsidR="003D306F" w:rsidRPr="003D306F">
        <w:rPr>
          <w:rFonts w:ascii="Helvetica" w:hAnsi="Helvetica" w:cs="Helvetica"/>
        </w:rPr>
        <w:t xml:space="preserve"> </w:t>
      </w:r>
    </w:p>
    <w:p w14:paraId="7A49F071" w14:textId="36D67A71" w:rsidR="003D306F" w:rsidRDefault="0000495F" w:rsidP="003D306F">
      <w:pPr>
        <w:numPr>
          <w:ilvl w:val="1"/>
          <w:numId w:val="1"/>
        </w:numPr>
        <w:rPr>
          <w:rFonts w:ascii="Helvetica" w:hAnsi="Helvetica" w:cs="Helvetica"/>
        </w:rPr>
      </w:pPr>
      <w:r>
        <w:rPr>
          <w:rFonts w:ascii="Helvetica" w:hAnsi="Helvetica" w:cs="Helvetica"/>
        </w:rPr>
        <w:t xml:space="preserve">SG2: </w:t>
      </w:r>
      <w:r w:rsidR="003D306F" w:rsidRPr="0079360F">
        <w:rPr>
          <w:rFonts w:ascii="Helvetica" w:hAnsi="Helvetica" w:cs="Helvetica"/>
        </w:rPr>
        <w:t xml:space="preserve">Lean IX Portfolio Management and Roadmap of Systems and Projects - </w:t>
      </w:r>
      <w:r w:rsidR="003D306F" w:rsidRPr="0079360F">
        <w:rPr>
          <w:rFonts w:ascii="Helvetica" w:hAnsi="Helvetica" w:cs="Helvetica"/>
          <w:color w:val="333333"/>
        </w:rPr>
        <w:t>Aligning with the </w:t>
      </w:r>
      <w:hyperlink r:id="rId11" w:tgtFrame="_blank" w:history="1">
        <w:r w:rsidR="003D306F" w:rsidRPr="00133EDD">
          <w:rPr>
            <w:rStyle w:val="Hyperlink"/>
            <w:rFonts w:ascii="Helvetica" w:hAnsi="Helvetica" w:cs="Helvetica"/>
          </w:rPr>
          <w:t>State of Hawaii IT Strategic Plan</w:t>
        </w:r>
      </w:hyperlink>
      <w:r w:rsidR="003D306F" w:rsidRPr="0079360F">
        <w:rPr>
          <w:rFonts w:ascii="Helvetica" w:hAnsi="Helvetica" w:cs="Helvetica"/>
          <w:color w:val="333333"/>
        </w:rPr>
        <w:t xml:space="preserve">, ETS coordinates management of the statewide IT Portfolio. The state executive branch departments work with ETS to maintain a portfolio of major IT applications and projects for each department, along with a roadmap of planned update, upgrade or replacement projects.   A summary version of the portfolio can be found at </w:t>
      </w:r>
      <w:hyperlink r:id="rId12" w:history="1">
        <w:r w:rsidR="003D306F" w:rsidRPr="0079360F">
          <w:rPr>
            <w:rStyle w:val="Hyperlink"/>
            <w:rFonts w:ascii="Helvetica" w:hAnsi="Helvetica" w:cs="Helvetica"/>
          </w:rPr>
          <w:t>Office of Enterprise Technology Services | State of Hawaii IT Portfolio and Roadmap</w:t>
        </w:r>
      </w:hyperlink>
      <w:r w:rsidR="003D306F" w:rsidRPr="0079360F">
        <w:rPr>
          <w:rFonts w:ascii="Helvetica" w:hAnsi="Helvetica" w:cs="Helvetica"/>
        </w:rPr>
        <w:t>.</w:t>
      </w:r>
    </w:p>
    <w:p w14:paraId="6C4D31B5" w14:textId="595B3273" w:rsidR="000638BE" w:rsidRPr="00555222" w:rsidRDefault="0000495F" w:rsidP="000638BE">
      <w:pPr>
        <w:numPr>
          <w:ilvl w:val="1"/>
          <w:numId w:val="1"/>
        </w:numPr>
        <w:rPr>
          <w:rFonts w:ascii="Helvetica" w:hAnsi="Helvetica" w:cs="Helvetica"/>
          <w:color w:val="2A2B2C"/>
        </w:rPr>
      </w:pPr>
      <w:r>
        <w:rPr>
          <w:rFonts w:ascii="Helvetica" w:hAnsi="Helvetica" w:cs="Helvetica"/>
          <w:color w:val="2A2B2C"/>
        </w:rPr>
        <w:lastRenderedPageBreak/>
        <w:t xml:space="preserve">SG3: </w:t>
      </w:r>
      <w:r w:rsidR="000638BE" w:rsidRPr="00555222">
        <w:rPr>
          <w:rFonts w:ascii="Helvetica" w:hAnsi="Helvetica" w:cs="Helvetica"/>
          <w:color w:val="2A2B2C"/>
        </w:rPr>
        <w:t>Independent Verification &amp; Validation (IV&amp;V) – HRS §27-43.6 gives the CIO discretion to require IV&amp;V on certain DD&amp;I projects based on criteria in the statute.  The state defines IV&amp;V as "independent verification and validation of an information technology project" means a rigorous independent process that evaluates the correctness and quality of the business product of the project to ensure that the product is being developed in accordance with customer requirements and well-engineered.  IV&amp;V reports are posted publicly on the ETS website to enhance transparency and accountability in IT projects.</w:t>
      </w:r>
    </w:p>
    <w:p w14:paraId="6878EA2F" w14:textId="17C1EC5D" w:rsidR="000638BE" w:rsidRDefault="0000495F" w:rsidP="000638BE">
      <w:pPr>
        <w:numPr>
          <w:ilvl w:val="1"/>
          <w:numId w:val="1"/>
        </w:numPr>
        <w:rPr>
          <w:rFonts w:ascii="Helvetica" w:hAnsi="Helvetica" w:cs="Helvetica"/>
          <w:color w:val="2A2B2C"/>
        </w:rPr>
      </w:pPr>
      <w:r>
        <w:rPr>
          <w:rFonts w:ascii="Helvetica" w:hAnsi="Helvetica" w:cs="Helvetica"/>
          <w:color w:val="2A2B2C"/>
        </w:rPr>
        <w:t xml:space="preserve">SG4: </w:t>
      </w:r>
      <w:r w:rsidR="000638BE" w:rsidRPr="00555222">
        <w:rPr>
          <w:rFonts w:ascii="Helvetica" w:hAnsi="Helvetica" w:cs="Helvetica"/>
          <w:color w:val="2A2B2C"/>
        </w:rPr>
        <w:t xml:space="preserve">Earned Value Management (EVM) - Earned value management (EVM) is a project management methodology that integrates schedule, costs, and scope to measure project performance. Based on planned and actual values, EVM predicts the likelihood that a project will meet its goals and enables project managers to adjust accordingly.  ETS is incorporating EVM into the IV&amp;V </w:t>
      </w:r>
      <w:r w:rsidR="00EF29DF" w:rsidRPr="00555222">
        <w:rPr>
          <w:rFonts w:ascii="Helvetica" w:hAnsi="Helvetica" w:cs="Helvetica"/>
          <w:color w:val="2A2B2C"/>
        </w:rPr>
        <w:t>process,</w:t>
      </w:r>
      <w:r w:rsidR="000638BE" w:rsidRPr="00555222">
        <w:rPr>
          <w:rFonts w:ascii="Helvetica" w:hAnsi="Helvetica" w:cs="Helvetica"/>
          <w:color w:val="2A2B2C"/>
        </w:rPr>
        <w:t xml:space="preserve"> but it may also be used as a best practice on projects without IV&amp;V.</w:t>
      </w:r>
    </w:p>
    <w:p w14:paraId="3A3A5EA2" w14:textId="77777777" w:rsidR="000638BE" w:rsidRPr="0079360F" w:rsidRDefault="000638BE" w:rsidP="00A104D4">
      <w:pPr>
        <w:ind w:left="1440"/>
        <w:rPr>
          <w:rFonts w:ascii="Helvetica" w:hAnsi="Helvetica" w:cs="Helvetica"/>
        </w:rPr>
      </w:pPr>
    </w:p>
    <w:p w14:paraId="0C487CA7" w14:textId="7CB2324C" w:rsidR="001E7B4E" w:rsidRPr="0079360F" w:rsidRDefault="003D306F" w:rsidP="000638BE">
      <w:pPr>
        <w:numPr>
          <w:ilvl w:val="0"/>
          <w:numId w:val="1"/>
        </w:numPr>
        <w:rPr>
          <w:rFonts w:ascii="Helvetica" w:hAnsi="Helvetica" w:cs="Helvetica"/>
        </w:rPr>
      </w:pPr>
      <w:r>
        <w:rPr>
          <w:rFonts w:ascii="Helvetica" w:hAnsi="Helvetica" w:cs="Helvetica"/>
        </w:rPr>
        <w:t xml:space="preserve">Expert Assistance </w:t>
      </w:r>
      <w:r w:rsidR="00937DF1">
        <w:rPr>
          <w:rFonts w:ascii="Helvetica" w:hAnsi="Helvetica" w:cs="Helvetica"/>
        </w:rPr>
        <w:t>(EX)</w:t>
      </w:r>
    </w:p>
    <w:p w14:paraId="54392855" w14:textId="509A1DC0" w:rsidR="0013579B" w:rsidRPr="0079360F" w:rsidRDefault="00293B3C" w:rsidP="0047295D">
      <w:pPr>
        <w:numPr>
          <w:ilvl w:val="1"/>
          <w:numId w:val="1"/>
        </w:numPr>
        <w:rPr>
          <w:rFonts w:ascii="Helvetica" w:hAnsi="Helvetica" w:cs="Helvetica"/>
        </w:rPr>
      </w:pPr>
      <w:r>
        <w:rPr>
          <w:rFonts w:ascii="Helvetica" w:hAnsi="Helvetica" w:cs="Helvetica"/>
        </w:rPr>
        <w:t xml:space="preserve">EX1: </w:t>
      </w:r>
      <w:r w:rsidR="0047295D" w:rsidRPr="0079360F">
        <w:rPr>
          <w:rFonts w:ascii="Helvetica" w:hAnsi="Helvetica" w:cs="Helvetica"/>
        </w:rPr>
        <w:t xml:space="preserve">ETS </w:t>
      </w:r>
      <w:r w:rsidR="0013579B" w:rsidRPr="0079360F">
        <w:rPr>
          <w:rFonts w:ascii="Helvetica" w:hAnsi="Helvetica" w:cs="Helvetica"/>
        </w:rPr>
        <w:t>Enterprise Subject Matter Experts</w:t>
      </w:r>
      <w:r w:rsidR="0047295D" w:rsidRPr="0079360F">
        <w:rPr>
          <w:rFonts w:ascii="Helvetica" w:hAnsi="Helvetica" w:cs="Helvetica"/>
        </w:rPr>
        <w:t xml:space="preserve"> (ESMEs) – ETS staff provide subject matter expertise in many areas including project management, strategy and governance, enterprise architecture and portfolio management, business analysis, technical analysis, cybersecurity, identity and access management, procurement process and data.  Department or Agency projects can request assistance from any of the ESME areas. </w:t>
      </w:r>
    </w:p>
    <w:p w14:paraId="018D96CE" w14:textId="01D30B56" w:rsidR="0013579B" w:rsidRPr="00555222" w:rsidRDefault="00293B3C" w:rsidP="00CE14C7">
      <w:pPr>
        <w:numPr>
          <w:ilvl w:val="1"/>
          <w:numId w:val="1"/>
        </w:numPr>
        <w:rPr>
          <w:rFonts w:ascii="Helvetica" w:hAnsi="Helvetica" w:cs="Helvetica"/>
          <w:color w:val="2A2B2C"/>
        </w:rPr>
      </w:pPr>
      <w:r>
        <w:rPr>
          <w:rFonts w:ascii="Helvetica" w:hAnsi="Helvetica" w:cs="Helvetica"/>
          <w:color w:val="2A2B2C"/>
        </w:rPr>
        <w:t xml:space="preserve">EX2: </w:t>
      </w:r>
      <w:r w:rsidR="001510D8" w:rsidRPr="00555222">
        <w:rPr>
          <w:rFonts w:ascii="Helvetica" w:hAnsi="Helvetica" w:cs="Helvetica"/>
          <w:color w:val="2A2B2C"/>
        </w:rPr>
        <w:t xml:space="preserve">ETS as a Broker </w:t>
      </w:r>
      <w:r w:rsidR="008E3002" w:rsidRPr="00555222">
        <w:rPr>
          <w:rFonts w:ascii="Helvetica" w:hAnsi="Helvetica" w:cs="Helvetica"/>
          <w:color w:val="2A2B2C"/>
        </w:rPr>
        <w:t xml:space="preserve">and Success Partner </w:t>
      </w:r>
      <w:r w:rsidR="001510D8" w:rsidRPr="00555222">
        <w:rPr>
          <w:rFonts w:ascii="Helvetica" w:hAnsi="Helvetica" w:cs="Helvetica"/>
          <w:color w:val="2A2B2C"/>
        </w:rPr>
        <w:t xml:space="preserve">– ETS serves as a broker of </w:t>
      </w:r>
      <w:r w:rsidR="00B44A8C" w:rsidRPr="00555222">
        <w:rPr>
          <w:rFonts w:ascii="Helvetica" w:hAnsi="Helvetica" w:cs="Helvetica"/>
          <w:color w:val="2A2B2C"/>
        </w:rPr>
        <w:t xml:space="preserve">information to agencies regarding </w:t>
      </w:r>
      <w:r w:rsidR="002F7AC5" w:rsidRPr="00555222">
        <w:rPr>
          <w:rFonts w:ascii="Helvetica" w:hAnsi="Helvetica" w:cs="Helvetica"/>
          <w:color w:val="2A2B2C"/>
        </w:rPr>
        <w:t xml:space="preserve">IT trends and resources, </w:t>
      </w:r>
      <w:r w:rsidR="00B44A8C" w:rsidRPr="00555222">
        <w:rPr>
          <w:rFonts w:ascii="Helvetica" w:hAnsi="Helvetica" w:cs="Helvetica"/>
          <w:color w:val="2A2B2C"/>
        </w:rPr>
        <w:t>vendor capabilities</w:t>
      </w:r>
      <w:r w:rsidR="002F7AC5" w:rsidRPr="00555222">
        <w:rPr>
          <w:rFonts w:ascii="Helvetica" w:hAnsi="Helvetica" w:cs="Helvetica"/>
          <w:color w:val="2A2B2C"/>
        </w:rPr>
        <w:t xml:space="preserve"> and projects in other departments.  Each department has an assigned </w:t>
      </w:r>
      <w:r w:rsidR="006C3052" w:rsidRPr="00555222">
        <w:rPr>
          <w:rFonts w:ascii="Helvetica" w:hAnsi="Helvetica" w:cs="Helvetica"/>
          <w:color w:val="2A2B2C"/>
        </w:rPr>
        <w:t xml:space="preserve">ETS analyst to help them work through governance processes and </w:t>
      </w:r>
      <w:r w:rsidR="008E3002" w:rsidRPr="00555222">
        <w:rPr>
          <w:rFonts w:ascii="Helvetica" w:hAnsi="Helvetica" w:cs="Helvetica"/>
          <w:color w:val="2A2B2C"/>
        </w:rPr>
        <w:t>find helpful information.</w:t>
      </w:r>
      <w:r w:rsidR="00D00E44" w:rsidRPr="00555222">
        <w:rPr>
          <w:rFonts w:ascii="Helvetica" w:hAnsi="Helvetica" w:cs="Helvetica"/>
          <w:color w:val="2A2B2C"/>
        </w:rPr>
        <w:t xml:space="preserve">  ETS also manages an IT Coordinating </w:t>
      </w:r>
      <w:r w:rsidR="00050FAB" w:rsidRPr="00555222">
        <w:rPr>
          <w:rFonts w:ascii="Helvetica" w:hAnsi="Helvetica" w:cs="Helvetica"/>
          <w:color w:val="2A2B2C"/>
        </w:rPr>
        <w:t>Council comprised of IT staff from each department.  The ITCC meets month</w:t>
      </w:r>
      <w:r w:rsidR="00E258F4" w:rsidRPr="00555222">
        <w:rPr>
          <w:rFonts w:ascii="Helvetica" w:hAnsi="Helvetica" w:cs="Helvetica"/>
          <w:color w:val="2A2B2C"/>
        </w:rPr>
        <w:t>l</w:t>
      </w:r>
      <w:r w:rsidR="00050FAB" w:rsidRPr="00555222">
        <w:rPr>
          <w:rFonts w:ascii="Helvetica" w:hAnsi="Helvetica" w:cs="Helvetica"/>
          <w:color w:val="2A2B2C"/>
        </w:rPr>
        <w:t xml:space="preserve">y to share information </w:t>
      </w:r>
      <w:r w:rsidR="00E258F4" w:rsidRPr="00555222">
        <w:rPr>
          <w:rFonts w:ascii="Helvetica" w:hAnsi="Helvetica" w:cs="Helvetica"/>
          <w:color w:val="2A2B2C"/>
        </w:rPr>
        <w:t>from ETS and between departments.</w:t>
      </w:r>
    </w:p>
    <w:p w14:paraId="14958BD7" w14:textId="1356DF1F" w:rsidR="0013579B" w:rsidRPr="0079360F" w:rsidRDefault="00293B3C" w:rsidP="0013579B">
      <w:pPr>
        <w:numPr>
          <w:ilvl w:val="1"/>
          <w:numId w:val="1"/>
        </w:numPr>
        <w:rPr>
          <w:rFonts w:ascii="Helvetica" w:hAnsi="Helvetica" w:cs="Helvetica"/>
        </w:rPr>
      </w:pPr>
      <w:r>
        <w:rPr>
          <w:rFonts w:ascii="Helvetica" w:hAnsi="Helvetica" w:cs="Helvetica"/>
          <w:color w:val="2A2B2C"/>
        </w:rPr>
        <w:t xml:space="preserve">EX3: </w:t>
      </w:r>
      <w:r w:rsidR="0013579B" w:rsidRPr="00555222">
        <w:rPr>
          <w:rFonts w:ascii="Helvetica" w:hAnsi="Helvetica" w:cs="Helvetica"/>
          <w:color w:val="2A2B2C"/>
        </w:rPr>
        <w:t xml:space="preserve">Project Transformation Office </w:t>
      </w:r>
      <w:r w:rsidR="00E62E28" w:rsidRPr="00555222">
        <w:rPr>
          <w:rFonts w:ascii="Helvetica" w:hAnsi="Helvetica" w:cs="Helvetica"/>
          <w:color w:val="2A2B2C"/>
        </w:rPr>
        <w:t>–</w:t>
      </w:r>
      <w:r w:rsidR="00FB3BEC" w:rsidRPr="00555222">
        <w:rPr>
          <w:rFonts w:ascii="Helvetica" w:hAnsi="Helvetica" w:cs="Helvetica"/>
          <w:color w:val="2A2B2C"/>
        </w:rPr>
        <w:t xml:space="preserve"> </w:t>
      </w:r>
      <w:r w:rsidR="00B843FA" w:rsidRPr="00555222">
        <w:rPr>
          <w:rFonts w:ascii="Helvetica" w:hAnsi="Helvetica" w:cs="Helvetica"/>
          <w:color w:val="2A2B2C"/>
        </w:rPr>
        <w:t xml:space="preserve">The </w:t>
      </w:r>
      <w:r w:rsidR="00024975" w:rsidRPr="00555222">
        <w:rPr>
          <w:rFonts w:ascii="Helvetica" w:hAnsi="Helvetica" w:cs="Helvetica"/>
          <w:color w:val="2A2B2C"/>
        </w:rPr>
        <w:t xml:space="preserve">Program Transformation </w:t>
      </w:r>
      <w:r w:rsidR="00B843FA" w:rsidRPr="00555222">
        <w:rPr>
          <w:rFonts w:ascii="Helvetica" w:hAnsi="Helvetica" w:cs="Helvetica"/>
          <w:color w:val="2A2B2C"/>
        </w:rPr>
        <w:t xml:space="preserve">Office </w:t>
      </w:r>
      <w:r w:rsidR="00024975" w:rsidRPr="00555222">
        <w:rPr>
          <w:rFonts w:ascii="Helvetica" w:hAnsi="Helvetica" w:cs="Helvetica"/>
          <w:color w:val="2A2B2C"/>
        </w:rPr>
        <w:t>(PT</w:t>
      </w:r>
      <w:r w:rsidR="00B843FA" w:rsidRPr="00555222">
        <w:rPr>
          <w:rFonts w:ascii="Helvetica" w:hAnsi="Helvetica" w:cs="Helvetica"/>
          <w:color w:val="2A2B2C"/>
        </w:rPr>
        <w:t>O</w:t>
      </w:r>
      <w:r w:rsidR="00024975" w:rsidRPr="00555222">
        <w:rPr>
          <w:rFonts w:ascii="Helvetica" w:hAnsi="Helvetica" w:cs="Helvetica"/>
          <w:color w:val="2A2B2C"/>
        </w:rPr>
        <w:t>) provides centralized consulting services to assist with department-led IT projects. The PT</w:t>
      </w:r>
      <w:r w:rsidR="00DA116D" w:rsidRPr="00555222">
        <w:rPr>
          <w:rFonts w:ascii="Helvetica" w:hAnsi="Helvetica" w:cs="Helvetica"/>
          <w:color w:val="2A2B2C"/>
        </w:rPr>
        <w:t>O</w:t>
      </w:r>
      <w:r w:rsidR="00024975" w:rsidRPr="00555222">
        <w:rPr>
          <w:rFonts w:ascii="Helvetica" w:hAnsi="Helvetica" w:cs="Helvetica"/>
          <w:color w:val="2A2B2C"/>
        </w:rPr>
        <w:t xml:space="preserve"> is comprised of experienced professionals who </w:t>
      </w:r>
      <w:r w:rsidR="00384837" w:rsidRPr="00555222">
        <w:rPr>
          <w:rFonts w:ascii="Helvetica" w:hAnsi="Helvetica" w:cs="Helvetica"/>
          <w:color w:val="2A2B2C"/>
        </w:rPr>
        <w:t xml:space="preserve">work collaboratively with and provide guidance and support to </w:t>
      </w:r>
      <w:r w:rsidR="005500D0" w:rsidRPr="00555222">
        <w:rPr>
          <w:rFonts w:ascii="Helvetica" w:hAnsi="Helvetica" w:cs="Helvetica"/>
          <w:color w:val="2A2B2C"/>
        </w:rPr>
        <w:t>departments and agencies</w:t>
      </w:r>
      <w:r w:rsidR="00024975" w:rsidRPr="00555222">
        <w:rPr>
          <w:rFonts w:ascii="Helvetica" w:hAnsi="Helvetica" w:cs="Helvetica"/>
          <w:color w:val="2A2B2C"/>
        </w:rPr>
        <w:t>. The scope of services provided depends on customer needs and may include self-service project management tools and a la carte consulting services.  </w:t>
      </w:r>
      <w:r w:rsidR="009060BF" w:rsidRPr="00555222">
        <w:rPr>
          <w:rFonts w:ascii="Helvetica" w:hAnsi="Helvetica" w:cs="Helvetica"/>
          <w:color w:val="2A2B2C"/>
        </w:rPr>
        <w:t xml:space="preserve">  </w:t>
      </w:r>
      <w:r w:rsidR="009E34AF" w:rsidRPr="00555222">
        <w:rPr>
          <w:rFonts w:ascii="Helvetica" w:hAnsi="Helvetica" w:cs="Helvetica"/>
          <w:color w:val="2A2B2C"/>
        </w:rPr>
        <w:t xml:space="preserve">The PTO also has a website with guidance, useful information and </w:t>
      </w:r>
      <w:r w:rsidR="00772E34" w:rsidRPr="00555222">
        <w:rPr>
          <w:rFonts w:ascii="Helvetica" w:hAnsi="Helvetica" w:cs="Helvetica"/>
          <w:color w:val="2A2B2C"/>
        </w:rPr>
        <w:t xml:space="preserve">prebuilt </w:t>
      </w:r>
      <w:r w:rsidR="009E34AF" w:rsidRPr="00555222">
        <w:rPr>
          <w:rFonts w:ascii="Helvetica" w:hAnsi="Helvetica" w:cs="Helvetica"/>
          <w:color w:val="2A2B2C"/>
        </w:rPr>
        <w:t xml:space="preserve">forms for use in </w:t>
      </w:r>
      <w:r w:rsidR="00772E34" w:rsidRPr="00555222">
        <w:rPr>
          <w:rFonts w:ascii="Helvetica" w:hAnsi="Helvetica" w:cs="Helvetica"/>
          <w:color w:val="2A2B2C"/>
        </w:rPr>
        <w:t xml:space="preserve">managing </w:t>
      </w:r>
      <w:r w:rsidR="009E34AF" w:rsidRPr="00555222">
        <w:rPr>
          <w:rFonts w:ascii="Helvetica" w:hAnsi="Helvetica" w:cs="Helvetica"/>
          <w:color w:val="2A2B2C"/>
        </w:rPr>
        <w:t>a</w:t>
      </w:r>
      <w:r w:rsidR="00772E34" w:rsidRPr="00555222">
        <w:rPr>
          <w:rFonts w:ascii="Helvetica" w:hAnsi="Helvetica" w:cs="Helvetica"/>
          <w:color w:val="2A2B2C"/>
        </w:rPr>
        <w:t>n IT</w:t>
      </w:r>
      <w:r w:rsidR="009E34AF" w:rsidRPr="00555222">
        <w:rPr>
          <w:rFonts w:ascii="Helvetica" w:hAnsi="Helvetica" w:cs="Helvetica"/>
          <w:color w:val="2A2B2C"/>
        </w:rPr>
        <w:t xml:space="preserve"> project.</w:t>
      </w:r>
      <w:r w:rsidR="000A0DB6" w:rsidRPr="00555222">
        <w:rPr>
          <w:rFonts w:ascii="Helvetica" w:hAnsi="Helvetica" w:cs="Helvetica"/>
          <w:color w:val="2A2B2C"/>
        </w:rPr>
        <w:t xml:space="preserve">  More information is available </w:t>
      </w:r>
      <w:r w:rsidR="000A0DB6" w:rsidRPr="0079360F">
        <w:rPr>
          <w:rFonts w:ascii="Helvetica" w:hAnsi="Helvetica" w:cs="Helvetica"/>
          <w:color w:val="2A2B2C"/>
        </w:rPr>
        <w:t>at</w:t>
      </w:r>
      <w:r w:rsidR="000A0DB6" w:rsidRPr="0079360F">
        <w:rPr>
          <w:rFonts w:ascii="Helvetica" w:hAnsi="Helvetica" w:cs="Helvetica"/>
        </w:rPr>
        <w:t xml:space="preserve"> </w:t>
      </w:r>
      <w:hyperlink r:id="rId13" w:history="1">
        <w:r w:rsidR="000A0DB6" w:rsidRPr="0079360F">
          <w:rPr>
            <w:rStyle w:val="Hyperlink"/>
            <w:rFonts w:ascii="Helvetica" w:hAnsi="Helvetica" w:cs="Helvetica"/>
          </w:rPr>
          <w:t>Office of Enterprise Technology Services | Program Transformation (hawaii.gov)</w:t>
        </w:r>
      </w:hyperlink>
      <w:r w:rsidR="00437291" w:rsidRPr="0079360F">
        <w:rPr>
          <w:rFonts w:ascii="Helvetica" w:hAnsi="Helvetica" w:cs="Helvetica"/>
        </w:rPr>
        <w:t>.</w:t>
      </w:r>
    </w:p>
    <w:p w14:paraId="3751BE20" w14:textId="7D6887E1" w:rsidR="0067794F" w:rsidRDefault="00417629" w:rsidP="0067794F">
      <w:pPr>
        <w:numPr>
          <w:ilvl w:val="1"/>
          <w:numId w:val="1"/>
        </w:numPr>
        <w:rPr>
          <w:rFonts w:ascii="Helvetica" w:hAnsi="Helvetica" w:cs="Helvetica"/>
          <w:color w:val="2A2B2C"/>
        </w:rPr>
      </w:pPr>
      <w:r>
        <w:rPr>
          <w:rFonts w:ascii="Helvetica" w:hAnsi="Helvetica" w:cs="Helvetica"/>
          <w:color w:val="2A2B2C"/>
        </w:rPr>
        <w:t xml:space="preserve">EX4: </w:t>
      </w:r>
      <w:r w:rsidR="0013579B" w:rsidRPr="00555222">
        <w:rPr>
          <w:rFonts w:ascii="Helvetica" w:hAnsi="Helvetica" w:cs="Helvetica"/>
          <w:color w:val="2A2B2C"/>
        </w:rPr>
        <w:t>O</w:t>
      </w:r>
      <w:r w:rsidR="0067794F" w:rsidRPr="00555222">
        <w:rPr>
          <w:rFonts w:ascii="Helvetica" w:hAnsi="Helvetica" w:cs="Helvetica"/>
          <w:color w:val="2A2B2C"/>
        </w:rPr>
        <w:t>rganizational Change Management (OCM)</w:t>
      </w:r>
      <w:r w:rsidR="0013579B" w:rsidRPr="00555222">
        <w:rPr>
          <w:rFonts w:ascii="Helvetica" w:hAnsi="Helvetica" w:cs="Helvetica"/>
          <w:color w:val="2A2B2C"/>
        </w:rPr>
        <w:t xml:space="preserve"> </w:t>
      </w:r>
      <w:r w:rsidR="0067794F" w:rsidRPr="00555222">
        <w:rPr>
          <w:rFonts w:ascii="Helvetica" w:hAnsi="Helvetica" w:cs="Helvetica"/>
          <w:color w:val="2A2B2C"/>
        </w:rPr>
        <w:t xml:space="preserve">– Implementation of change in government can be very hard when status quo is in our DNA.  Disruption of the status quo is often difficult for leadership and the workforce to accept.  OCM is a process of planning and implementing new ways of operating within an organization by preparing everyone for the change and getting buy-in.  ETS has </w:t>
      </w:r>
      <w:r w:rsidR="0067794F" w:rsidRPr="00555222">
        <w:rPr>
          <w:rFonts w:ascii="Helvetica" w:hAnsi="Helvetica" w:cs="Helvetica"/>
          <w:color w:val="2A2B2C"/>
        </w:rPr>
        <w:lastRenderedPageBreak/>
        <w:t>OCM resources to assist departments with the change that comes with IT system modernization and strongly encourages departments to engage in OCM as part of modernization.</w:t>
      </w:r>
    </w:p>
    <w:p w14:paraId="05E2BE36" w14:textId="511D626D" w:rsidR="00020E10" w:rsidRPr="00555222" w:rsidRDefault="00417629" w:rsidP="00020E10">
      <w:pPr>
        <w:numPr>
          <w:ilvl w:val="1"/>
          <w:numId w:val="1"/>
        </w:numPr>
        <w:rPr>
          <w:rFonts w:ascii="Helvetica" w:hAnsi="Helvetica" w:cs="Helvetica"/>
          <w:color w:val="2A2B2C"/>
        </w:rPr>
      </w:pPr>
      <w:r>
        <w:rPr>
          <w:rFonts w:ascii="Helvetica" w:hAnsi="Helvetica" w:cs="Helvetica"/>
          <w:color w:val="2A2B2C"/>
        </w:rPr>
        <w:t xml:space="preserve">EX5: </w:t>
      </w:r>
      <w:r w:rsidR="00020E10" w:rsidRPr="00555222">
        <w:rPr>
          <w:rFonts w:ascii="Helvetica" w:hAnsi="Helvetica" w:cs="Helvetica"/>
          <w:color w:val="2A2B2C"/>
        </w:rPr>
        <w:t>National Association of Chief Information Officers (NASCIO) – ETS is a member of NASCIO.  NASCIO is a resource for information on what other states are doing on modernization and other major topics and a forum for discussion of common problems and potential solutions.</w:t>
      </w:r>
    </w:p>
    <w:p w14:paraId="24AC0D7C" w14:textId="3AB03520" w:rsidR="00C37A80" w:rsidRPr="00555222" w:rsidRDefault="00C37A80" w:rsidP="00C37A80">
      <w:pPr>
        <w:numPr>
          <w:ilvl w:val="1"/>
          <w:numId w:val="1"/>
        </w:numPr>
        <w:rPr>
          <w:rFonts w:ascii="Helvetica" w:hAnsi="Helvetica" w:cs="Helvetica"/>
          <w:color w:val="2A2B2C"/>
        </w:rPr>
      </w:pPr>
      <w:r>
        <w:rPr>
          <w:rFonts w:ascii="Helvetica" w:hAnsi="Helvetica" w:cs="Helvetica"/>
          <w:color w:val="2A2B2C"/>
        </w:rPr>
        <w:t xml:space="preserve">EX6: </w:t>
      </w:r>
      <w:r w:rsidRPr="00555222">
        <w:rPr>
          <w:rFonts w:ascii="Helvetica" w:hAnsi="Helvetica" w:cs="Helvetica"/>
          <w:color w:val="2A2B2C"/>
        </w:rPr>
        <w:t>Central Purchase Contracts and Procurement Price Lists – Central contracts and price lists simplify and speed up procurement of IT systems and products.  National price lists are available through the National Association of State Procurement Officials’ ValuePoint and the United States General Services Administration.  In addition, the state has price list for cloud services and other IT services purchased by departments.</w:t>
      </w:r>
    </w:p>
    <w:p w14:paraId="778E21AA" w14:textId="4D03F7FB" w:rsidR="00C37A80" w:rsidRDefault="00C37A80" w:rsidP="00C37A80">
      <w:pPr>
        <w:numPr>
          <w:ilvl w:val="1"/>
          <w:numId w:val="1"/>
        </w:numPr>
        <w:rPr>
          <w:rFonts w:ascii="Helvetica" w:hAnsi="Helvetica" w:cs="Helvetica"/>
          <w:color w:val="2A2B2C"/>
        </w:rPr>
      </w:pPr>
      <w:r>
        <w:rPr>
          <w:rFonts w:ascii="Helvetica" w:hAnsi="Helvetica" w:cs="Helvetica"/>
          <w:color w:val="2A2B2C"/>
        </w:rPr>
        <w:t>EX7: Procurement</w:t>
      </w:r>
      <w:r w:rsidRPr="00555222">
        <w:rPr>
          <w:rFonts w:ascii="Helvetica" w:hAnsi="Helvetica" w:cs="Helvetica"/>
          <w:color w:val="2A2B2C"/>
        </w:rPr>
        <w:t xml:space="preserve"> Advisory and Assistance Services – ETS and departments </w:t>
      </w:r>
      <w:r>
        <w:rPr>
          <w:rFonts w:ascii="Helvetica" w:hAnsi="Helvetica" w:cs="Helvetica"/>
          <w:color w:val="2A2B2C"/>
        </w:rPr>
        <w:t xml:space="preserve">can </w:t>
      </w:r>
      <w:r w:rsidRPr="00555222">
        <w:rPr>
          <w:rFonts w:ascii="Helvetica" w:hAnsi="Helvetica" w:cs="Helvetica"/>
          <w:color w:val="2A2B2C"/>
        </w:rPr>
        <w:t>utilize IT advisory and assistance companies to assist with procurement and operations.  Commonly used companies include InfoTech and Gartner. These services often provide best practice information to the state and can assist with every stage of procurement planning and execution.</w:t>
      </w:r>
    </w:p>
    <w:p w14:paraId="22AE6BDF" w14:textId="0F01FDA0" w:rsidR="00C37A80" w:rsidRPr="00555222" w:rsidRDefault="00C37A80" w:rsidP="00C37A80">
      <w:pPr>
        <w:numPr>
          <w:ilvl w:val="1"/>
          <w:numId w:val="1"/>
        </w:numPr>
        <w:rPr>
          <w:rFonts w:ascii="Helvetica" w:hAnsi="Helvetica" w:cs="Helvetica"/>
          <w:color w:val="2A2B2C"/>
        </w:rPr>
      </w:pPr>
      <w:r>
        <w:rPr>
          <w:rFonts w:ascii="Helvetica" w:hAnsi="Helvetica" w:cs="Helvetica"/>
          <w:color w:val="2A2B2C"/>
        </w:rPr>
        <w:t>EX8: Special Assistant Attorney Generals IT Specialty List – ETS encourages agencies engaging in significant procurement to use attorney from the IT specialty list of Special Assistant Attorney Generals.  The list may also be useful if significant contract disputes develop.</w:t>
      </w:r>
      <w:r w:rsidR="00EF29DF">
        <w:rPr>
          <w:rFonts w:ascii="Helvetica" w:hAnsi="Helvetica" w:cs="Helvetica"/>
          <w:color w:val="2A2B2C"/>
        </w:rPr>
        <w:t xml:space="preserve">  </w:t>
      </w:r>
      <w:hyperlink r:id="rId14" w:history="1">
        <w:r w:rsidR="00EF29DF" w:rsidRPr="00EF29DF">
          <w:rPr>
            <w:rStyle w:val="Hyperlink"/>
            <w:rFonts w:ascii="Helvetica" w:hAnsi="Helvetica" w:cs="Helvetica"/>
          </w:rPr>
          <w:t>Notice-to-Attorneys-Interested-in-Providing-Legal-Services-FY2023-2024</w:t>
        </w:r>
      </w:hyperlink>
    </w:p>
    <w:p w14:paraId="03058598" w14:textId="77777777" w:rsidR="00020E10" w:rsidRPr="00555222" w:rsidRDefault="00020E10" w:rsidP="00020E10">
      <w:pPr>
        <w:ind w:left="1440"/>
        <w:rPr>
          <w:rFonts w:ascii="Helvetica" w:hAnsi="Helvetica" w:cs="Helvetica"/>
          <w:color w:val="2A2B2C"/>
        </w:rPr>
      </w:pPr>
    </w:p>
    <w:p w14:paraId="7FF44365" w14:textId="097B47BE" w:rsidR="00CC7C86" w:rsidRDefault="00CC7C86" w:rsidP="00A104D4">
      <w:pPr>
        <w:numPr>
          <w:ilvl w:val="0"/>
          <w:numId w:val="1"/>
        </w:numPr>
        <w:rPr>
          <w:rFonts w:ascii="Helvetica" w:hAnsi="Helvetica" w:cs="Helvetica"/>
          <w:color w:val="2A2B2C"/>
        </w:rPr>
      </w:pPr>
      <w:r>
        <w:rPr>
          <w:rFonts w:ascii="Helvetica" w:hAnsi="Helvetica" w:cs="Helvetica"/>
          <w:color w:val="2A2B2C"/>
        </w:rPr>
        <w:t>Procurement</w:t>
      </w:r>
      <w:r w:rsidR="00937DF1">
        <w:rPr>
          <w:rFonts w:ascii="Helvetica" w:hAnsi="Helvetica" w:cs="Helvetica"/>
          <w:color w:val="2A2B2C"/>
        </w:rPr>
        <w:t xml:space="preserve"> (PR)</w:t>
      </w:r>
    </w:p>
    <w:p w14:paraId="48226F9A" w14:textId="7A1620A3" w:rsidR="0013579B" w:rsidRPr="00555222" w:rsidRDefault="00D35D4D" w:rsidP="0013579B">
      <w:pPr>
        <w:numPr>
          <w:ilvl w:val="1"/>
          <w:numId w:val="1"/>
        </w:numPr>
        <w:rPr>
          <w:rFonts w:ascii="Helvetica" w:hAnsi="Helvetica" w:cs="Helvetica"/>
          <w:color w:val="2A2B2C"/>
        </w:rPr>
      </w:pPr>
      <w:r>
        <w:rPr>
          <w:rFonts w:ascii="Helvetica" w:hAnsi="Helvetica" w:cs="Helvetica"/>
          <w:color w:val="2A2B2C"/>
        </w:rPr>
        <w:t xml:space="preserve">PR1: </w:t>
      </w:r>
      <w:r w:rsidR="0013579B" w:rsidRPr="00555222">
        <w:rPr>
          <w:rFonts w:ascii="Helvetica" w:hAnsi="Helvetica" w:cs="Helvetica"/>
          <w:color w:val="2A2B2C"/>
        </w:rPr>
        <w:t>IT R</w:t>
      </w:r>
      <w:r w:rsidR="00EF2576" w:rsidRPr="00555222">
        <w:rPr>
          <w:rFonts w:ascii="Helvetica" w:hAnsi="Helvetica" w:cs="Helvetica"/>
          <w:color w:val="2A2B2C"/>
        </w:rPr>
        <w:t xml:space="preserve">equest </w:t>
      </w:r>
      <w:r w:rsidR="004A499F" w:rsidRPr="00555222">
        <w:rPr>
          <w:rFonts w:ascii="Helvetica" w:hAnsi="Helvetica" w:cs="Helvetica"/>
          <w:color w:val="2A2B2C"/>
        </w:rPr>
        <w:t>for</w:t>
      </w:r>
      <w:r w:rsidR="00EF2576" w:rsidRPr="00555222">
        <w:rPr>
          <w:rFonts w:ascii="Helvetica" w:hAnsi="Helvetica" w:cs="Helvetica"/>
          <w:color w:val="2A2B2C"/>
        </w:rPr>
        <w:t xml:space="preserve"> </w:t>
      </w:r>
      <w:r w:rsidR="0013579B" w:rsidRPr="00555222">
        <w:rPr>
          <w:rFonts w:ascii="Helvetica" w:hAnsi="Helvetica" w:cs="Helvetica"/>
          <w:color w:val="2A2B2C"/>
        </w:rPr>
        <w:t>P</w:t>
      </w:r>
      <w:r w:rsidR="00EF2576" w:rsidRPr="00555222">
        <w:rPr>
          <w:rFonts w:ascii="Helvetica" w:hAnsi="Helvetica" w:cs="Helvetica"/>
          <w:color w:val="2A2B2C"/>
        </w:rPr>
        <w:t>roposal (RFP)</w:t>
      </w:r>
      <w:r w:rsidR="0013579B" w:rsidRPr="00555222">
        <w:rPr>
          <w:rFonts w:ascii="Helvetica" w:hAnsi="Helvetica" w:cs="Helvetica"/>
          <w:color w:val="2A2B2C"/>
        </w:rPr>
        <w:t xml:space="preserve"> Checklist </w:t>
      </w:r>
      <w:r w:rsidR="002C14DB" w:rsidRPr="00555222">
        <w:rPr>
          <w:rFonts w:ascii="Helvetica" w:hAnsi="Helvetica" w:cs="Helvetica"/>
          <w:color w:val="2A2B2C"/>
        </w:rPr>
        <w:t>and Review</w:t>
      </w:r>
      <w:r w:rsidR="00B41E5B" w:rsidRPr="00555222">
        <w:rPr>
          <w:rFonts w:ascii="Helvetica" w:hAnsi="Helvetica" w:cs="Helvetica"/>
          <w:color w:val="2A2B2C"/>
        </w:rPr>
        <w:t>– ETS IT Governance developed a standardized RFP checklist</w:t>
      </w:r>
      <w:r w:rsidR="00663A53" w:rsidRPr="00555222">
        <w:rPr>
          <w:rFonts w:ascii="Helvetica" w:hAnsi="Helvetica" w:cs="Helvetica"/>
          <w:color w:val="2A2B2C"/>
        </w:rPr>
        <w:t xml:space="preserve"> with over 6</w:t>
      </w:r>
      <w:r w:rsidR="00435D09" w:rsidRPr="00555222">
        <w:rPr>
          <w:rFonts w:ascii="Helvetica" w:hAnsi="Helvetica" w:cs="Helvetica"/>
          <w:color w:val="2A2B2C"/>
        </w:rPr>
        <w:t>0 items</w:t>
      </w:r>
      <w:r w:rsidR="00B41E5B" w:rsidRPr="00555222">
        <w:rPr>
          <w:rFonts w:ascii="Helvetica" w:hAnsi="Helvetica" w:cs="Helvetica"/>
          <w:color w:val="2A2B2C"/>
        </w:rPr>
        <w:t xml:space="preserve"> to ensure </w:t>
      </w:r>
      <w:r w:rsidR="00EF2576" w:rsidRPr="00555222">
        <w:rPr>
          <w:rFonts w:ascii="Helvetica" w:hAnsi="Helvetica" w:cs="Helvetica"/>
          <w:color w:val="2A2B2C"/>
        </w:rPr>
        <w:t>that RFP</w:t>
      </w:r>
      <w:r w:rsidR="00D52310" w:rsidRPr="00555222">
        <w:rPr>
          <w:rFonts w:ascii="Helvetica" w:hAnsi="Helvetica" w:cs="Helvetica"/>
          <w:color w:val="2A2B2C"/>
        </w:rPr>
        <w:t xml:space="preserve"> packages include important IT</w:t>
      </w:r>
      <w:r w:rsidR="00435D09" w:rsidRPr="00555222">
        <w:rPr>
          <w:rFonts w:ascii="Helvetica" w:hAnsi="Helvetica" w:cs="Helvetica"/>
          <w:color w:val="2A2B2C"/>
        </w:rPr>
        <w:t>-</w:t>
      </w:r>
      <w:r w:rsidR="00D52310" w:rsidRPr="00555222">
        <w:rPr>
          <w:rFonts w:ascii="Helvetica" w:hAnsi="Helvetica" w:cs="Helvetica"/>
          <w:color w:val="2A2B2C"/>
        </w:rPr>
        <w:t xml:space="preserve">related </w:t>
      </w:r>
      <w:r w:rsidR="002C14DB" w:rsidRPr="00555222">
        <w:rPr>
          <w:rFonts w:ascii="Helvetica" w:hAnsi="Helvetica" w:cs="Helvetica"/>
          <w:color w:val="2A2B2C"/>
        </w:rPr>
        <w:t xml:space="preserve">conditions and requirements.  ETS provides the </w:t>
      </w:r>
      <w:r w:rsidR="00027CF9" w:rsidRPr="00555222">
        <w:rPr>
          <w:rFonts w:ascii="Helvetica" w:hAnsi="Helvetica" w:cs="Helvetica"/>
          <w:color w:val="2A2B2C"/>
        </w:rPr>
        <w:t xml:space="preserve">checklist to departments and helps review the draft RFP for inclusion of checklist items. </w:t>
      </w:r>
    </w:p>
    <w:p w14:paraId="19135177" w14:textId="77B9683B" w:rsidR="0013579B" w:rsidRPr="00555222" w:rsidRDefault="00D35D4D" w:rsidP="00E258F4">
      <w:pPr>
        <w:numPr>
          <w:ilvl w:val="1"/>
          <w:numId w:val="1"/>
        </w:numPr>
        <w:rPr>
          <w:rFonts w:ascii="Helvetica" w:hAnsi="Helvetica" w:cs="Helvetica"/>
          <w:color w:val="2A2B2C"/>
        </w:rPr>
      </w:pPr>
      <w:r>
        <w:rPr>
          <w:rFonts w:ascii="Helvetica" w:hAnsi="Helvetica" w:cs="Helvetica"/>
          <w:color w:val="2A2B2C"/>
        </w:rPr>
        <w:t xml:space="preserve">PR2: </w:t>
      </w:r>
      <w:r w:rsidR="0013579B" w:rsidRPr="00555222">
        <w:rPr>
          <w:rFonts w:ascii="Helvetica" w:hAnsi="Helvetica" w:cs="Helvetica"/>
          <w:color w:val="2A2B2C"/>
        </w:rPr>
        <w:t>Rigorous Vendor Presentation Requirements</w:t>
      </w:r>
      <w:r w:rsidR="00E258F4" w:rsidRPr="00555222">
        <w:rPr>
          <w:rFonts w:ascii="Helvetica" w:hAnsi="Helvetica" w:cs="Helvetica"/>
          <w:color w:val="2A2B2C"/>
        </w:rPr>
        <w:t xml:space="preserve"> – Vendor </w:t>
      </w:r>
      <w:r w:rsidR="005745D7" w:rsidRPr="00555222">
        <w:rPr>
          <w:rFonts w:ascii="Helvetica" w:hAnsi="Helvetica" w:cs="Helvetica"/>
          <w:color w:val="2A2B2C"/>
        </w:rPr>
        <w:t xml:space="preserve">written </w:t>
      </w:r>
      <w:r w:rsidR="00E258F4" w:rsidRPr="00555222">
        <w:rPr>
          <w:rFonts w:ascii="Helvetica" w:hAnsi="Helvetica" w:cs="Helvetica"/>
          <w:color w:val="2A2B2C"/>
        </w:rPr>
        <w:t xml:space="preserve">responses and </w:t>
      </w:r>
      <w:r w:rsidR="005745D7" w:rsidRPr="00555222">
        <w:rPr>
          <w:rFonts w:ascii="Helvetica" w:hAnsi="Helvetica" w:cs="Helvetica"/>
          <w:color w:val="2A2B2C"/>
        </w:rPr>
        <w:t xml:space="preserve">oral </w:t>
      </w:r>
      <w:r w:rsidR="00E258F4" w:rsidRPr="00555222">
        <w:rPr>
          <w:rFonts w:ascii="Helvetica" w:hAnsi="Helvetica" w:cs="Helvetica"/>
          <w:color w:val="2A2B2C"/>
        </w:rPr>
        <w:t xml:space="preserve">presentations in response to an RFP need to </w:t>
      </w:r>
      <w:r w:rsidR="005745D7" w:rsidRPr="00555222">
        <w:rPr>
          <w:rFonts w:ascii="Helvetica" w:hAnsi="Helvetica" w:cs="Helvetica"/>
          <w:color w:val="2A2B2C"/>
        </w:rPr>
        <w:t>be</w:t>
      </w:r>
      <w:r w:rsidR="00E258F4" w:rsidRPr="00555222">
        <w:rPr>
          <w:rFonts w:ascii="Helvetica" w:hAnsi="Helvetica" w:cs="Helvetica"/>
          <w:color w:val="2A2B2C"/>
        </w:rPr>
        <w:t xml:space="preserve"> rigorous</w:t>
      </w:r>
      <w:r w:rsidR="005745D7" w:rsidRPr="00555222">
        <w:rPr>
          <w:rFonts w:ascii="Helvetica" w:hAnsi="Helvetica" w:cs="Helvetica"/>
          <w:color w:val="2A2B2C"/>
        </w:rPr>
        <w:t>ly planned and analyzed</w:t>
      </w:r>
      <w:r w:rsidR="00E258F4" w:rsidRPr="00555222">
        <w:rPr>
          <w:rFonts w:ascii="Helvetica" w:hAnsi="Helvetica" w:cs="Helvetica"/>
          <w:color w:val="2A2B2C"/>
        </w:rPr>
        <w:t xml:space="preserve"> by the purchasing agency.  ETS is encouraging departments to dedicate significant time and effort to vendor selection considering the large investment and </w:t>
      </w:r>
      <w:r w:rsidR="005745D7" w:rsidRPr="00555222">
        <w:rPr>
          <w:rFonts w:ascii="Helvetica" w:hAnsi="Helvetica" w:cs="Helvetica"/>
          <w:color w:val="2A2B2C"/>
        </w:rPr>
        <w:t>long-term</w:t>
      </w:r>
      <w:r w:rsidR="00E258F4" w:rsidRPr="00555222">
        <w:rPr>
          <w:rFonts w:ascii="Helvetica" w:hAnsi="Helvetica" w:cs="Helvetica"/>
          <w:color w:val="2A2B2C"/>
        </w:rPr>
        <w:t xml:space="preserve"> investment of </w:t>
      </w:r>
      <w:r w:rsidR="005745D7" w:rsidRPr="00555222">
        <w:rPr>
          <w:rFonts w:ascii="Helvetica" w:hAnsi="Helvetica" w:cs="Helvetica"/>
          <w:color w:val="2A2B2C"/>
        </w:rPr>
        <w:t xml:space="preserve">IT </w:t>
      </w:r>
      <w:r w:rsidR="00E258F4" w:rsidRPr="00555222">
        <w:rPr>
          <w:rFonts w:ascii="Helvetica" w:hAnsi="Helvetica" w:cs="Helvetica"/>
          <w:color w:val="2A2B2C"/>
        </w:rPr>
        <w:t xml:space="preserve">system change. </w:t>
      </w:r>
    </w:p>
    <w:p w14:paraId="6C203F22" w14:textId="7ED8548A" w:rsidR="0013579B" w:rsidRPr="00555222" w:rsidRDefault="00D35D4D" w:rsidP="0013579B">
      <w:pPr>
        <w:numPr>
          <w:ilvl w:val="1"/>
          <w:numId w:val="1"/>
        </w:numPr>
        <w:rPr>
          <w:rFonts w:ascii="Helvetica" w:hAnsi="Helvetica" w:cs="Helvetica"/>
          <w:color w:val="2A2B2C"/>
        </w:rPr>
      </w:pPr>
      <w:r>
        <w:rPr>
          <w:rFonts w:ascii="Helvetica" w:hAnsi="Helvetica" w:cs="Helvetica"/>
          <w:color w:val="2A2B2C"/>
        </w:rPr>
        <w:t xml:space="preserve">PR3: </w:t>
      </w:r>
      <w:r w:rsidR="0013579B" w:rsidRPr="00555222">
        <w:rPr>
          <w:rFonts w:ascii="Helvetica" w:hAnsi="Helvetica" w:cs="Helvetica"/>
          <w:color w:val="2A2B2C"/>
        </w:rPr>
        <w:t xml:space="preserve">Early </w:t>
      </w:r>
      <w:r w:rsidR="00B34421" w:rsidRPr="00555222">
        <w:rPr>
          <w:rFonts w:ascii="Helvetica" w:hAnsi="Helvetica" w:cs="Helvetica"/>
          <w:color w:val="2A2B2C"/>
        </w:rPr>
        <w:t>Return on Investment</w:t>
      </w:r>
      <w:r w:rsidR="0013579B" w:rsidRPr="00555222">
        <w:rPr>
          <w:rFonts w:ascii="Helvetica" w:hAnsi="Helvetica" w:cs="Helvetica"/>
          <w:color w:val="2A2B2C"/>
        </w:rPr>
        <w:t xml:space="preserve"> - Staging and M</w:t>
      </w:r>
      <w:r w:rsidR="000A444D" w:rsidRPr="00555222">
        <w:rPr>
          <w:rFonts w:ascii="Helvetica" w:hAnsi="Helvetica" w:cs="Helvetica"/>
          <w:color w:val="2A2B2C"/>
        </w:rPr>
        <w:t>inimum Viable Produ</w:t>
      </w:r>
      <w:r w:rsidR="006837CF" w:rsidRPr="00555222">
        <w:rPr>
          <w:rFonts w:ascii="Helvetica" w:hAnsi="Helvetica" w:cs="Helvetica"/>
          <w:color w:val="2A2B2C"/>
        </w:rPr>
        <w:t>ct</w:t>
      </w:r>
      <w:r w:rsidR="0013579B" w:rsidRPr="00555222">
        <w:rPr>
          <w:rFonts w:ascii="Helvetica" w:hAnsi="Helvetica" w:cs="Helvetica"/>
          <w:color w:val="2A2B2C"/>
        </w:rPr>
        <w:t xml:space="preserve"> </w:t>
      </w:r>
      <w:r w:rsidR="00B34421" w:rsidRPr="00555222">
        <w:rPr>
          <w:rFonts w:ascii="Helvetica" w:hAnsi="Helvetica" w:cs="Helvetica"/>
          <w:color w:val="2A2B2C"/>
        </w:rPr>
        <w:t>– ETS recommends IT projects be built</w:t>
      </w:r>
      <w:r w:rsidR="001722B3" w:rsidRPr="00555222">
        <w:rPr>
          <w:rFonts w:ascii="Helvetica" w:hAnsi="Helvetica" w:cs="Helvetica"/>
          <w:color w:val="2A2B2C"/>
        </w:rPr>
        <w:t xml:space="preserve"> in stages to allow agency use </w:t>
      </w:r>
      <w:r w:rsidR="0033053F" w:rsidRPr="00555222">
        <w:rPr>
          <w:rFonts w:ascii="Helvetica" w:hAnsi="Helvetica" w:cs="Helvetica"/>
          <w:color w:val="2A2B2C"/>
        </w:rPr>
        <w:t xml:space="preserve">of </w:t>
      </w:r>
      <w:r w:rsidR="006837CF" w:rsidRPr="00555222">
        <w:rPr>
          <w:rFonts w:ascii="Helvetica" w:hAnsi="Helvetica" w:cs="Helvetica"/>
          <w:color w:val="2A2B2C"/>
        </w:rPr>
        <w:t xml:space="preserve">each stage </w:t>
      </w:r>
      <w:r w:rsidR="001722B3" w:rsidRPr="00555222">
        <w:rPr>
          <w:rFonts w:ascii="Helvetica" w:hAnsi="Helvetica" w:cs="Helvetica"/>
          <w:color w:val="2A2B2C"/>
        </w:rPr>
        <w:t>of the IT system as early as possible to begin receiving a return on investment</w:t>
      </w:r>
      <w:r w:rsidR="0033053F" w:rsidRPr="00555222">
        <w:rPr>
          <w:rFonts w:ascii="Helvetica" w:hAnsi="Helvetica" w:cs="Helvetica"/>
          <w:color w:val="2A2B2C"/>
        </w:rPr>
        <w:t xml:space="preserve">.  This </w:t>
      </w:r>
      <w:r w:rsidR="00321C4D" w:rsidRPr="00555222">
        <w:rPr>
          <w:rFonts w:ascii="Helvetica" w:hAnsi="Helvetica" w:cs="Helvetica"/>
          <w:color w:val="2A2B2C"/>
        </w:rPr>
        <w:t xml:space="preserve">also </w:t>
      </w:r>
      <w:r w:rsidR="0033053F" w:rsidRPr="00555222">
        <w:rPr>
          <w:rFonts w:ascii="Helvetica" w:hAnsi="Helvetica" w:cs="Helvetica"/>
          <w:color w:val="2A2B2C"/>
        </w:rPr>
        <w:t xml:space="preserve">helps </w:t>
      </w:r>
      <w:r w:rsidR="00321C4D" w:rsidRPr="00555222">
        <w:rPr>
          <w:rFonts w:ascii="Helvetica" w:hAnsi="Helvetica" w:cs="Helvetica"/>
          <w:color w:val="2A2B2C"/>
        </w:rPr>
        <w:t xml:space="preserve">to evaluate the </w:t>
      </w:r>
      <w:r w:rsidR="004A499F" w:rsidRPr="00555222">
        <w:rPr>
          <w:rFonts w:ascii="Helvetica" w:hAnsi="Helvetica" w:cs="Helvetica"/>
          <w:color w:val="2A2B2C"/>
        </w:rPr>
        <w:t>project’s</w:t>
      </w:r>
      <w:r w:rsidR="00321C4D" w:rsidRPr="00555222">
        <w:rPr>
          <w:rFonts w:ascii="Helvetica" w:hAnsi="Helvetica" w:cs="Helvetica"/>
          <w:color w:val="2A2B2C"/>
        </w:rPr>
        <w:t xml:space="preserve"> likelihood of success.  </w:t>
      </w:r>
      <w:r w:rsidR="005C03EB" w:rsidRPr="00555222">
        <w:rPr>
          <w:rFonts w:ascii="Helvetica" w:hAnsi="Helvetica" w:cs="Helvetica"/>
          <w:color w:val="2A2B2C"/>
        </w:rPr>
        <w:t>The first usable part of the project should be an early, basic version of a product that meets the minimum necessary requirements for use but can be adapted and improved in the future</w:t>
      </w:r>
      <w:r w:rsidR="00AC7FE0" w:rsidRPr="00555222">
        <w:rPr>
          <w:rFonts w:ascii="Helvetica" w:hAnsi="Helvetica" w:cs="Helvetica"/>
          <w:color w:val="2A2B2C"/>
        </w:rPr>
        <w:t xml:space="preserve">, known as the </w:t>
      </w:r>
      <w:r w:rsidR="000A444D" w:rsidRPr="00555222">
        <w:rPr>
          <w:rFonts w:ascii="Helvetica" w:hAnsi="Helvetica" w:cs="Helvetica"/>
          <w:color w:val="2A2B2C"/>
        </w:rPr>
        <w:t xml:space="preserve">minimum viable product (MVP) or initial operating </w:t>
      </w:r>
      <w:r w:rsidR="000A444D" w:rsidRPr="00555222">
        <w:rPr>
          <w:rFonts w:ascii="Helvetica" w:hAnsi="Helvetica" w:cs="Helvetica"/>
          <w:color w:val="2A2B2C"/>
        </w:rPr>
        <w:lastRenderedPageBreak/>
        <w:t>capability (IOC).</w:t>
      </w:r>
      <w:r w:rsidR="00C37A9B" w:rsidRPr="00555222">
        <w:rPr>
          <w:rFonts w:ascii="Helvetica" w:hAnsi="Helvetica" w:cs="Helvetica"/>
          <w:color w:val="2A2B2C"/>
        </w:rPr>
        <w:t xml:space="preserve">  Often this allows the agency to turn off all or part of an existing system and thereby reduce </w:t>
      </w:r>
      <w:r w:rsidR="00684394" w:rsidRPr="00555222">
        <w:rPr>
          <w:rFonts w:ascii="Helvetica" w:hAnsi="Helvetica" w:cs="Helvetica"/>
          <w:color w:val="2A2B2C"/>
        </w:rPr>
        <w:t xml:space="preserve">expenses to </w:t>
      </w:r>
      <w:r w:rsidR="00863EF3" w:rsidRPr="00555222">
        <w:rPr>
          <w:rFonts w:ascii="Helvetica" w:hAnsi="Helvetica" w:cs="Helvetica"/>
          <w:color w:val="2A2B2C"/>
        </w:rPr>
        <w:t>maint</w:t>
      </w:r>
      <w:r w:rsidR="00684394" w:rsidRPr="00555222">
        <w:rPr>
          <w:rFonts w:ascii="Helvetica" w:hAnsi="Helvetica" w:cs="Helvetica"/>
          <w:color w:val="2A2B2C"/>
        </w:rPr>
        <w:t>ain</w:t>
      </w:r>
      <w:r w:rsidR="00863EF3" w:rsidRPr="00555222">
        <w:rPr>
          <w:rFonts w:ascii="Helvetica" w:hAnsi="Helvetica" w:cs="Helvetica"/>
          <w:color w:val="2A2B2C"/>
        </w:rPr>
        <w:t xml:space="preserve"> and operat</w:t>
      </w:r>
      <w:r w:rsidR="00684394" w:rsidRPr="00555222">
        <w:rPr>
          <w:rFonts w:ascii="Helvetica" w:hAnsi="Helvetica" w:cs="Helvetica"/>
          <w:color w:val="2A2B2C"/>
        </w:rPr>
        <w:t>e</w:t>
      </w:r>
      <w:r w:rsidR="00863EF3" w:rsidRPr="00555222">
        <w:rPr>
          <w:rFonts w:ascii="Helvetica" w:hAnsi="Helvetica" w:cs="Helvetica"/>
          <w:color w:val="2A2B2C"/>
        </w:rPr>
        <w:t xml:space="preserve"> the old system.</w:t>
      </w:r>
    </w:p>
    <w:p w14:paraId="2C22F38A" w14:textId="1E7860A8" w:rsidR="0013579B" w:rsidRDefault="00D35D4D" w:rsidP="0013579B">
      <w:pPr>
        <w:numPr>
          <w:ilvl w:val="1"/>
          <w:numId w:val="1"/>
        </w:numPr>
        <w:rPr>
          <w:rFonts w:ascii="Helvetica" w:hAnsi="Helvetica" w:cs="Helvetica"/>
          <w:color w:val="2A2B2C"/>
        </w:rPr>
      </w:pPr>
      <w:r>
        <w:rPr>
          <w:rFonts w:ascii="Helvetica" w:hAnsi="Helvetica" w:cs="Helvetica"/>
          <w:color w:val="2A2B2C"/>
        </w:rPr>
        <w:t xml:space="preserve">PR4: </w:t>
      </w:r>
      <w:r w:rsidR="000704C1" w:rsidRPr="00555222">
        <w:rPr>
          <w:rFonts w:ascii="Helvetica" w:hAnsi="Helvetica" w:cs="Helvetica"/>
          <w:color w:val="2A2B2C"/>
        </w:rPr>
        <w:t xml:space="preserve">Fixed Price Contracts and </w:t>
      </w:r>
      <w:r w:rsidR="0013579B" w:rsidRPr="00555222">
        <w:rPr>
          <w:rFonts w:ascii="Helvetica" w:hAnsi="Helvetica" w:cs="Helvetica"/>
          <w:color w:val="2A2B2C"/>
        </w:rPr>
        <w:t>Contract Payments Based on Deliverables</w:t>
      </w:r>
      <w:r w:rsidR="006B2F9B" w:rsidRPr="00555222">
        <w:rPr>
          <w:rFonts w:ascii="Helvetica" w:hAnsi="Helvetica" w:cs="Helvetica"/>
          <w:color w:val="2A2B2C"/>
        </w:rPr>
        <w:t xml:space="preserve"> </w:t>
      </w:r>
      <w:r w:rsidR="00113B9F" w:rsidRPr="00555222">
        <w:rPr>
          <w:rFonts w:ascii="Helvetica" w:hAnsi="Helvetica" w:cs="Helvetica"/>
          <w:color w:val="2A2B2C"/>
        </w:rPr>
        <w:t>–</w:t>
      </w:r>
      <w:r w:rsidR="001F072B" w:rsidRPr="00555222">
        <w:rPr>
          <w:rFonts w:ascii="Helvetica" w:hAnsi="Helvetica" w:cs="Helvetica"/>
          <w:color w:val="2A2B2C"/>
        </w:rPr>
        <w:t xml:space="preserve"> </w:t>
      </w:r>
      <w:r w:rsidR="000704C1" w:rsidRPr="00555222">
        <w:rPr>
          <w:rFonts w:ascii="Helvetica" w:hAnsi="Helvetica" w:cs="Helvetica"/>
          <w:color w:val="2A2B2C"/>
        </w:rPr>
        <w:t xml:space="preserve">IT implementation projects for major systems should be fixed price contracts.  </w:t>
      </w:r>
      <w:r w:rsidR="00113B9F" w:rsidRPr="00555222">
        <w:rPr>
          <w:rFonts w:ascii="Helvetica" w:hAnsi="Helvetica" w:cs="Helvetica"/>
          <w:color w:val="2A2B2C"/>
        </w:rPr>
        <w:t>If cont</w:t>
      </w:r>
      <w:r w:rsidR="002D0EA6">
        <w:rPr>
          <w:rFonts w:ascii="Helvetica" w:hAnsi="Helvetica" w:cs="Helvetica"/>
          <w:color w:val="2A2B2C"/>
        </w:rPr>
        <w:t>r</w:t>
      </w:r>
      <w:r w:rsidR="00113B9F" w:rsidRPr="00555222">
        <w:rPr>
          <w:rFonts w:ascii="Helvetica" w:hAnsi="Helvetica" w:cs="Helvetica"/>
          <w:color w:val="2A2B2C"/>
        </w:rPr>
        <w:t xml:space="preserve">act payments are appropriate before contract completion, </w:t>
      </w:r>
      <w:r w:rsidR="008D253D" w:rsidRPr="00555222">
        <w:rPr>
          <w:rFonts w:ascii="Helvetica" w:hAnsi="Helvetica" w:cs="Helvetica"/>
          <w:color w:val="2A2B2C"/>
        </w:rPr>
        <w:t xml:space="preserve">ETS recommends agencies </w:t>
      </w:r>
      <w:r w:rsidR="00113B9F" w:rsidRPr="00555222">
        <w:rPr>
          <w:rFonts w:ascii="Helvetica" w:hAnsi="Helvetica" w:cs="Helvetica"/>
          <w:color w:val="2A2B2C"/>
        </w:rPr>
        <w:t>tie</w:t>
      </w:r>
      <w:r w:rsidR="0050026E" w:rsidRPr="00555222">
        <w:rPr>
          <w:rFonts w:ascii="Helvetica" w:hAnsi="Helvetica" w:cs="Helvetica"/>
          <w:color w:val="2A2B2C"/>
        </w:rPr>
        <w:t xml:space="preserve"> </w:t>
      </w:r>
      <w:r w:rsidR="00113B9F" w:rsidRPr="00555222">
        <w:rPr>
          <w:rFonts w:ascii="Helvetica" w:hAnsi="Helvetica" w:cs="Helvetica"/>
          <w:color w:val="2A2B2C"/>
        </w:rPr>
        <w:t xml:space="preserve">any </w:t>
      </w:r>
      <w:r w:rsidR="0050026E" w:rsidRPr="00555222">
        <w:rPr>
          <w:rFonts w:ascii="Helvetica" w:hAnsi="Helvetica" w:cs="Helvetica"/>
          <w:color w:val="2A2B2C"/>
        </w:rPr>
        <w:t xml:space="preserve">partial </w:t>
      </w:r>
      <w:r w:rsidR="002B0FE3" w:rsidRPr="00555222">
        <w:rPr>
          <w:rFonts w:ascii="Helvetica" w:hAnsi="Helvetica" w:cs="Helvetica"/>
          <w:color w:val="2A2B2C"/>
        </w:rPr>
        <w:t xml:space="preserve">payments </w:t>
      </w:r>
      <w:r w:rsidR="0050026E" w:rsidRPr="00555222">
        <w:rPr>
          <w:rFonts w:ascii="Helvetica" w:hAnsi="Helvetica" w:cs="Helvetica"/>
          <w:color w:val="2A2B2C"/>
        </w:rPr>
        <w:t>to</w:t>
      </w:r>
      <w:r w:rsidR="003B7878" w:rsidRPr="00555222">
        <w:rPr>
          <w:rFonts w:ascii="Helvetica" w:hAnsi="Helvetica" w:cs="Helvetica"/>
          <w:color w:val="2A2B2C"/>
        </w:rPr>
        <w:t xml:space="preserve"> completion of significant deliverable items </w:t>
      </w:r>
      <w:r w:rsidR="00FE2E12" w:rsidRPr="00555222">
        <w:rPr>
          <w:rFonts w:ascii="Helvetica" w:hAnsi="Helvetica" w:cs="Helvetica"/>
          <w:color w:val="2A2B2C"/>
        </w:rPr>
        <w:t xml:space="preserve">or milestones </w:t>
      </w:r>
      <w:r w:rsidR="003B7878" w:rsidRPr="00555222">
        <w:rPr>
          <w:rFonts w:ascii="Helvetica" w:hAnsi="Helvetica" w:cs="Helvetica"/>
          <w:color w:val="2A2B2C"/>
        </w:rPr>
        <w:t>in the statement of work</w:t>
      </w:r>
      <w:r w:rsidR="00440930">
        <w:rPr>
          <w:rFonts w:ascii="Helvetica" w:hAnsi="Helvetica" w:cs="Helvetica"/>
          <w:color w:val="2A2B2C"/>
        </w:rPr>
        <w:t xml:space="preserve"> and Work Breakdown Structure</w:t>
      </w:r>
      <w:r w:rsidR="002D0EA6">
        <w:rPr>
          <w:rFonts w:ascii="Helvetica" w:hAnsi="Helvetica" w:cs="Helvetica"/>
          <w:color w:val="2A2B2C"/>
        </w:rPr>
        <w:t xml:space="preserve"> and that a percentage of the payment be withheld until final completion and acceptance</w:t>
      </w:r>
      <w:r w:rsidR="00FE2E12" w:rsidRPr="00555222">
        <w:rPr>
          <w:rFonts w:ascii="Helvetica" w:hAnsi="Helvetica" w:cs="Helvetica"/>
          <w:color w:val="2A2B2C"/>
        </w:rPr>
        <w:t xml:space="preserve">.  These payments must be </w:t>
      </w:r>
      <w:r w:rsidR="002B0FE3" w:rsidRPr="00555222">
        <w:rPr>
          <w:rFonts w:ascii="Helvetica" w:hAnsi="Helvetica" w:cs="Helvetica"/>
          <w:color w:val="2A2B2C"/>
        </w:rPr>
        <w:t xml:space="preserve">commensurate with </w:t>
      </w:r>
      <w:r w:rsidR="00EB09FF" w:rsidRPr="00555222">
        <w:rPr>
          <w:rFonts w:ascii="Helvetica" w:hAnsi="Helvetica" w:cs="Helvetica"/>
          <w:color w:val="2A2B2C"/>
        </w:rPr>
        <w:t xml:space="preserve">level of effort and actual </w:t>
      </w:r>
      <w:r w:rsidR="002B0FE3" w:rsidRPr="00555222">
        <w:rPr>
          <w:rFonts w:ascii="Helvetica" w:hAnsi="Helvetica" w:cs="Helvetica"/>
          <w:color w:val="2A2B2C"/>
        </w:rPr>
        <w:t>work accomplished</w:t>
      </w:r>
      <w:r w:rsidR="00FE2E12" w:rsidRPr="00555222">
        <w:rPr>
          <w:rFonts w:ascii="Helvetica" w:hAnsi="Helvetica" w:cs="Helvetica"/>
          <w:color w:val="2A2B2C"/>
        </w:rPr>
        <w:t xml:space="preserve"> and not</w:t>
      </w:r>
      <w:r w:rsidR="00DB4347" w:rsidRPr="00555222">
        <w:rPr>
          <w:rFonts w:ascii="Helvetica" w:hAnsi="Helvetica" w:cs="Helvetica"/>
          <w:color w:val="2A2B2C"/>
        </w:rPr>
        <w:t xml:space="preserve"> for actual</w:t>
      </w:r>
      <w:r w:rsidR="00FE2E12" w:rsidRPr="00555222">
        <w:rPr>
          <w:rFonts w:ascii="Helvetica" w:hAnsi="Helvetica" w:cs="Helvetica"/>
          <w:color w:val="2A2B2C"/>
        </w:rPr>
        <w:t xml:space="preserve"> </w:t>
      </w:r>
      <w:r w:rsidR="00541DF7" w:rsidRPr="00555222">
        <w:rPr>
          <w:rFonts w:ascii="Helvetica" w:hAnsi="Helvetica" w:cs="Helvetica"/>
          <w:color w:val="2A2B2C"/>
        </w:rPr>
        <w:t>time and materials.</w:t>
      </w:r>
      <w:r w:rsidR="002B0FE3" w:rsidRPr="00555222">
        <w:rPr>
          <w:rFonts w:ascii="Helvetica" w:hAnsi="Helvetica" w:cs="Helvetica"/>
          <w:color w:val="2A2B2C"/>
        </w:rPr>
        <w:t xml:space="preserve"> </w:t>
      </w:r>
      <w:r w:rsidR="0028179F" w:rsidRPr="00555222">
        <w:rPr>
          <w:rFonts w:ascii="Helvetica" w:hAnsi="Helvetica" w:cs="Helvetica"/>
          <w:color w:val="2A2B2C"/>
        </w:rPr>
        <w:t>Deliverables must</w:t>
      </w:r>
      <w:r w:rsidR="002B0FE3" w:rsidRPr="00555222">
        <w:rPr>
          <w:rFonts w:ascii="Helvetica" w:hAnsi="Helvetica" w:cs="Helvetica"/>
          <w:color w:val="2A2B2C"/>
        </w:rPr>
        <w:t xml:space="preserve"> meet the quality standards established under the contract</w:t>
      </w:r>
      <w:r w:rsidR="00EB09FF" w:rsidRPr="00555222">
        <w:rPr>
          <w:rFonts w:ascii="Helvetica" w:hAnsi="Helvetica" w:cs="Helvetica"/>
          <w:color w:val="2A2B2C"/>
        </w:rPr>
        <w:t xml:space="preserve">. </w:t>
      </w:r>
    </w:p>
    <w:p w14:paraId="0E1107D5" w14:textId="77777777" w:rsidR="003A59B1" w:rsidRPr="00555222" w:rsidRDefault="003A59B1" w:rsidP="007E2E67">
      <w:pPr>
        <w:ind w:left="1440"/>
        <w:rPr>
          <w:rFonts w:ascii="Helvetica" w:hAnsi="Helvetica" w:cs="Helvetica"/>
          <w:color w:val="2A2B2C"/>
        </w:rPr>
      </w:pPr>
    </w:p>
    <w:p w14:paraId="3E3D973B" w14:textId="0457E027" w:rsidR="00A42705" w:rsidRDefault="00DD56E9" w:rsidP="00F5599E">
      <w:pPr>
        <w:rPr>
          <w:rFonts w:ascii="Helvetica" w:hAnsi="Helvetica" w:cs="Helvetica"/>
          <w:color w:val="2A2B2C"/>
        </w:rPr>
      </w:pPr>
      <w:r w:rsidRPr="00555222">
        <w:rPr>
          <w:rFonts w:ascii="Helvetica" w:hAnsi="Helvetica" w:cs="Helvetica"/>
          <w:color w:val="2A2B2C"/>
        </w:rPr>
        <w:t>Planned Improvements</w:t>
      </w:r>
      <w:r w:rsidR="00A42705" w:rsidRPr="00555222">
        <w:rPr>
          <w:rFonts w:ascii="Helvetica" w:hAnsi="Helvetica" w:cs="Helvetica"/>
          <w:color w:val="2A2B2C"/>
        </w:rPr>
        <w:t xml:space="preserve"> – These items are being </w:t>
      </w:r>
      <w:r w:rsidR="00C711B9" w:rsidRPr="00555222">
        <w:rPr>
          <w:rFonts w:ascii="Helvetica" w:hAnsi="Helvetica" w:cs="Helvetica"/>
          <w:color w:val="2A2B2C"/>
        </w:rPr>
        <w:t xml:space="preserve">used or </w:t>
      </w:r>
      <w:r w:rsidR="00A42705" w:rsidRPr="00555222">
        <w:rPr>
          <w:rFonts w:ascii="Helvetica" w:hAnsi="Helvetica" w:cs="Helvetica"/>
          <w:color w:val="2A2B2C"/>
        </w:rPr>
        <w:t>tested in systems currently under development</w:t>
      </w:r>
      <w:r w:rsidR="00CB690C" w:rsidRPr="00555222">
        <w:rPr>
          <w:rFonts w:ascii="Helvetica" w:hAnsi="Helvetica" w:cs="Helvetica"/>
          <w:color w:val="2A2B2C"/>
        </w:rPr>
        <w:t xml:space="preserve"> or in operation</w:t>
      </w:r>
      <w:r w:rsidR="00E603EB">
        <w:rPr>
          <w:rFonts w:ascii="Helvetica" w:hAnsi="Helvetica" w:cs="Helvetica"/>
          <w:color w:val="2A2B2C"/>
        </w:rPr>
        <w:t xml:space="preserve"> but are not standardized</w:t>
      </w:r>
      <w:r w:rsidR="00AD2DF3" w:rsidRPr="00555222">
        <w:rPr>
          <w:rFonts w:ascii="Helvetica" w:hAnsi="Helvetica" w:cs="Helvetica"/>
          <w:color w:val="2A2B2C"/>
        </w:rPr>
        <w:t>:</w:t>
      </w:r>
    </w:p>
    <w:p w14:paraId="01E1608A" w14:textId="77777777" w:rsidR="007E2E67" w:rsidRDefault="007E2E67" w:rsidP="00F5599E">
      <w:pPr>
        <w:rPr>
          <w:rFonts w:ascii="Helvetica" w:hAnsi="Helvetica" w:cs="Helvetica"/>
          <w:color w:val="2A2B2C"/>
        </w:rPr>
      </w:pPr>
    </w:p>
    <w:p w14:paraId="56F1BB9A" w14:textId="1E4F4862" w:rsidR="002E0DDA" w:rsidRDefault="002E0DDA" w:rsidP="00B44892">
      <w:pPr>
        <w:numPr>
          <w:ilvl w:val="0"/>
          <w:numId w:val="1"/>
        </w:numPr>
        <w:rPr>
          <w:rFonts w:ascii="Helvetica" w:hAnsi="Helvetica" w:cs="Helvetica"/>
          <w:color w:val="2A2B2C"/>
        </w:rPr>
      </w:pPr>
      <w:r>
        <w:rPr>
          <w:rFonts w:ascii="Helvetica" w:hAnsi="Helvetica" w:cs="Helvetica"/>
          <w:color w:val="2A2B2C"/>
        </w:rPr>
        <w:t>Strategy and Governance</w:t>
      </w:r>
      <w:r w:rsidR="00937DF1">
        <w:rPr>
          <w:rFonts w:ascii="Helvetica" w:hAnsi="Helvetica" w:cs="Helvetica"/>
          <w:color w:val="2A2B2C"/>
        </w:rPr>
        <w:t xml:space="preserve"> (SG)</w:t>
      </w:r>
    </w:p>
    <w:p w14:paraId="0C232E86" w14:textId="47D5D8A2" w:rsidR="009E696F" w:rsidRDefault="009E696F" w:rsidP="00293B3C">
      <w:pPr>
        <w:numPr>
          <w:ilvl w:val="1"/>
          <w:numId w:val="1"/>
        </w:numPr>
        <w:rPr>
          <w:rFonts w:ascii="Helvetica" w:hAnsi="Helvetica" w:cs="Helvetica"/>
          <w:color w:val="2A2B2C"/>
        </w:rPr>
      </w:pPr>
      <w:r>
        <w:rPr>
          <w:rFonts w:ascii="Helvetica" w:hAnsi="Helvetica" w:cs="Helvetica"/>
          <w:color w:val="2A2B2C"/>
        </w:rPr>
        <w:t xml:space="preserve">SG5: Risk Analysis Response System – Risk Analysis on IV&amp;V </w:t>
      </w:r>
      <w:r w:rsidR="00293B3C">
        <w:rPr>
          <w:rFonts w:ascii="Helvetica" w:hAnsi="Helvetica" w:cs="Helvetica"/>
          <w:color w:val="2A2B2C"/>
        </w:rPr>
        <w:t>Reports will be standardized to allow for agencies to respond with appropriate corrective actoin to various levels of risk.</w:t>
      </w:r>
    </w:p>
    <w:p w14:paraId="59B0E9D3" w14:textId="2968FAA4" w:rsidR="00186959" w:rsidRDefault="00186959" w:rsidP="00186959">
      <w:pPr>
        <w:numPr>
          <w:ilvl w:val="1"/>
          <w:numId w:val="1"/>
        </w:numPr>
        <w:rPr>
          <w:rFonts w:ascii="Helvetica" w:hAnsi="Helvetica" w:cs="Helvetica"/>
          <w:color w:val="2A2B2C"/>
        </w:rPr>
      </w:pPr>
      <w:r>
        <w:rPr>
          <w:rFonts w:ascii="Helvetica" w:hAnsi="Helvetica" w:cs="Helvetica"/>
          <w:color w:val="2A2B2C"/>
        </w:rPr>
        <w:t xml:space="preserve">SG6: </w:t>
      </w:r>
      <w:r w:rsidRPr="00F90BC7">
        <w:rPr>
          <w:rFonts w:ascii="Helvetica" w:hAnsi="Helvetica" w:cs="Helvetica"/>
          <w:color w:val="2A2B2C"/>
        </w:rPr>
        <w:t>Thresholds for Q</w:t>
      </w:r>
      <w:r>
        <w:rPr>
          <w:rFonts w:ascii="Helvetica" w:hAnsi="Helvetica" w:cs="Helvetica"/>
          <w:color w:val="2A2B2C"/>
        </w:rPr>
        <w:t xml:space="preserve">uality </w:t>
      </w:r>
      <w:r w:rsidRPr="00F90BC7">
        <w:rPr>
          <w:rFonts w:ascii="Helvetica" w:hAnsi="Helvetica" w:cs="Helvetica"/>
          <w:color w:val="2A2B2C"/>
        </w:rPr>
        <w:t>A</w:t>
      </w:r>
      <w:r>
        <w:rPr>
          <w:rFonts w:ascii="Helvetica" w:hAnsi="Helvetica" w:cs="Helvetica"/>
          <w:color w:val="2A2B2C"/>
        </w:rPr>
        <w:t>ssurance</w:t>
      </w:r>
      <w:r w:rsidRPr="00F90BC7">
        <w:rPr>
          <w:rFonts w:ascii="Helvetica" w:hAnsi="Helvetica" w:cs="Helvetica"/>
          <w:color w:val="2A2B2C"/>
        </w:rPr>
        <w:t xml:space="preserve"> Requirements </w:t>
      </w:r>
      <w:r>
        <w:rPr>
          <w:rFonts w:ascii="Helvetica" w:hAnsi="Helvetica" w:cs="Helvetica"/>
          <w:color w:val="2A2B2C"/>
        </w:rPr>
        <w:t>– All ETS guidance for quality will be based on the size and scope of the IT system including costs to develop and operate, development time, expected operating life, impact on residents, business operations and other users, complexity and integration with other systems.</w:t>
      </w:r>
    </w:p>
    <w:p w14:paraId="674E1D0D" w14:textId="77777777" w:rsidR="007E2E67" w:rsidRPr="00F90BC7" w:rsidRDefault="007E2E67" w:rsidP="007E2E67">
      <w:pPr>
        <w:ind w:left="1440"/>
        <w:rPr>
          <w:rFonts w:ascii="Helvetica" w:hAnsi="Helvetica" w:cs="Helvetica"/>
          <w:color w:val="2A2B2C"/>
        </w:rPr>
      </w:pPr>
    </w:p>
    <w:p w14:paraId="72B8E2B9" w14:textId="5FB5F1CB" w:rsidR="00B44892" w:rsidRDefault="00B44892" w:rsidP="00B44892">
      <w:pPr>
        <w:numPr>
          <w:ilvl w:val="0"/>
          <w:numId w:val="1"/>
        </w:numPr>
        <w:rPr>
          <w:rFonts w:ascii="Helvetica" w:hAnsi="Helvetica" w:cs="Helvetica"/>
          <w:color w:val="2A2B2C"/>
        </w:rPr>
      </w:pPr>
      <w:r>
        <w:rPr>
          <w:rFonts w:ascii="Helvetica" w:hAnsi="Helvetica" w:cs="Helvetica"/>
          <w:color w:val="2A2B2C"/>
        </w:rPr>
        <w:t>Procurement</w:t>
      </w:r>
      <w:r w:rsidR="00937DF1">
        <w:rPr>
          <w:rFonts w:ascii="Helvetica" w:hAnsi="Helvetica" w:cs="Helvetica"/>
          <w:color w:val="2A2B2C"/>
        </w:rPr>
        <w:t xml:space="preserve"> (PR)</w:t>
      </w:r>
    </w:p>
    <w:p w14:paraId="39DEB849" w14:textId="013415F1" w:rsidR="00B44892" w:rsidRPr="00F90BC7" w:rsidRDefault="007C7029" w:rsidP="00B44892">
      <w:pPr>
        <w:numPr>
          <w:ilvl w:val="1"/>
          <w:numId w:val="1"/>
        </w:numPr>
        <w:rPr>
          <w:rFonts w:ascii="Helvetica" w:hAnsi="Helvetica" w:cs="Helvetica"/>
          <w:color w:val="2A2B2C"/>
        </w:rPr>
      </w:pPr>
      <w:r>
        <w:rPr>
          <w:rFonts w:ascii="Helvetica" w:hAnsi="Helvetica" w:cs="Helvetica"/>
          <w:color w:val="2A2B2C"/>
        </w:rPr>
        <w:t>PR</w:t>
      </w:r>
      <w:r w:rsidR="00D16EF7">
        <w:rPr>
          <w:rFonts w:ascii="Helvetica" w:hAnsi="Helvetica" w:cs="Helvetica"/>
          <w:color w:val="2A2B2C"/>
        </w:rPr>
        <w:t>5</w:t>
      </w:r>
      <w:r>
        <w:rPr>
          <w:rFonts w:ascii="Helvetica" w:hAnsi="Helvetica" w:cs="Helvetica"/>
          <w:color w:val="2A2B2C"/>
        </w:rPr>
        <w:t xml:space="preserve">: </w:t>
      </w:r>
      <w:r w:rsidR="00B44892" w:rsidRPr="00F90BC7">
        <w:rPr>
          <w:rFonts w:ascii="Helvetica" w:hAnsi="Helvetica" w:cs="Helvetica"/>
          <w:color w:val="2A2B2C"/>
        </w:rPr>
        <w:t>Guidelines for PMO Staffing – Each IT Project should be assigned to a Project Management Office within the department.  The system RFP should describe the leadership, business, and IT staff available full- and part-time to work on the project and any time when they will not be available.  Vendors generally expect they will not have to pause their work due to unavailability of government staff and that government staff will be reasonably available as needed.  Vendor expectations should be addressed through the procurement and contracting process to ensure that there is agreement on access to employees.  Generally, you can expect to need one full-time staff person to match each full-time project staff member of the vendor to stay on the development schedule.  ETS is preparing a guide for establishing and sizing your project management office.</w:t>
      </w:r>
    </w:p>
    <w:p w14:paraId="3050A3B5" w14:textId="48A8C593" w:rsidR="00B44892" w:rsidRPr="00F90BC7" w:rsidRDefault="007C7029" w:rsidP="00B44892">
      <w:pPr>
        <w:numPr>
          <w:ilvl w:val="1"/>
          <w:numId w:val="1"/>
        </w:numPr>
        <w:rPr>
          <w:rFonts w:ascii="Helvetica" w:hAnsi="Helvetica" w:cs="Helvetica"/>
          <w:color w:val="2A2B2C"/>
        </w:rPr>
      </w:pPr>
      <w:r>
        <w:rPr>
          <w:rFonts w:ascii="Helvetica" w:hAnsi="Helvetica" w:cs="Helvetica"/>
          <w:color w:val="2A2B2C"/>
        </w:rPr>
        <w:t>PR</w:t>
      </w:r>
      <w:r w:rsidR="00D16EF7">
        <w:rPr>
          <w:rFonts w:ascii="Helvetica" w:hAnsi="Helvetica" w:cs="Helvetica"/>
          <w:color w:val="2A2B2C"/>
        </w:rPr>
        <w:t>6</w:t>
      </w:r>
      <w:r>
        <w:rPr>
          <w:rFonts w:ascii="Helvetica" w:hAnsi="Helvetica" w:cs="Helvetica"/>
          <w:color w:val="2A2B2C"/>
        </w:rPr>
        <w:t xml:space="preserve">: </w:t>
      </w:r>
      <w:r w:rsidR="00B44892" w:rsidRPr="00F90BC7">
        <w:rPr>
          <w:rFonts w:ascii="Helvetica" w:hAnsi="Helvetica" w:cs="Helvetica"/>
          <w:color w:val="2A2B2C"/>
        </w:rPr>
        <w:t xml:space="preserve">Special Project IT Modernization Staffing – Some projects have established PMOs using the Governor’s authority for cases where existing positions to </w:t>
      </w:r>
      <w:r w:rsidR="00B44892" w:rsidRPr="00F90BC7">
        <w:rPr>
          <w:rFonts w:ascii="Helvetica" w:hAnsi="Helvetica" w:cs="Helvetica"/>
          <w:color w:val="2A2B2C"/>
        </w:rPr>
        <w:lastRenderedPageBreak/>
        <w:t xml:space="preserve">modernize the system do not exist.  ETS has a template available for requesting the Governor’s approval. </w:t>
      </w:r>
    </w:p>
    <w:p w14:paraId="20A532C5" w14:textId="43389BEC" w:rsidR="00B44892" w:rsidRPr="00F90BC7" w:rsidRDefault="007C7029" w:rsidP="00B44892">
      <w:pPr>
        <w:numPr>
          <w:ilvl w:val="1"/>
          <w:numId w:val="1"/>
        </w:numPr>
        <w:rPr>
          <w:rFonts w:ascii="Helvetica" w:hAnsi="Helvetica" w:cs="Helvetica"/>
          <w:color w:val="2A2B2C"/>
        </w:rPr>
      </w:pPr>
      <w:r>
        <w:rPr>
          <w:rFonts w:ascii="Helvetica" w:hAnsi="Helvetica" w:cs="Helvetica"/>
          <w:color w:val="2A2B2C"/>
        </w:rPr>
        <w:t>PR</w:t>
      </w:r>
      <w:r w:rsidR="00D16EF7">
        <w:rPr>
          <w:rFonts w:ascii="Helvetica" w:hAnsi="Helvetica" w:cs="Helvetica"/>
          <w:color w:val="2A2B2C"/>
        </w:rPr>
        <w:t>7</w:t>
      </w:r>
      <w:r>
        <w:rPr>
          <w:rFonts w:ascii="Helvetica" w:hAnsi="Helvetica" w:cs="Helvetica"/>
          <w:color w:val="2A2B2C"/>
        </w:rPr>
        <w:t xml:space="preserve">: </w:t>
      </w:r>
      <w:r w:rsidR="00B44892" w:rsidRPr="00F90BC7">
        <w:rPr>
          <w:rFonts w:ascii="Helvetica" w:hAnsi="Helvetica" w:cs="Helvetica"/>
          <w:color w:val="2A2B2C"/>
        </w:rPr>
        <w:t xml:space="preserve">RFP as Contract Document </w:t>
      </w:r>
      <w:r w:rsidR="00B44892">
        <w:rPr>
          <w:rFonts w:ascii="Helvetica" w:hAnsi="Helvetica" w:cs="Helvetica"/>
          <w:color w:val="2A2B2C"/>
        </w:rPr>
        <w:t xml:space="preserve">– The RFP is often used as a part of the contract and therefore it must be written with that in mind.  Chapters or sections describing the RFP and procurement process, including RFP response format, content or timing should be clearly separated from requirements and terms and conditions that will apply as part of the contract. Any language that may be referenced in the contract needs to be clear and unambiguous as should anything submitted by the respondent. </w:t>
      </w:r>
    </w:p>
    <w:p w14:paraId="7C996523" w14:textId="5AE544BF" w:rsidR="00B44892" w:rsidRPr="00F90BC7" w:rsidRDefault="007C7029" w:rsidP="00B44892">
      <w:pPr>
        <w:numPr>
          <w:ilvl w:val="1"/>
          <w:numId w:val="1"/>
        </w:numPr>
        <w:rPr>
          <w:rFonts w:ascii="Helvetica" w:hAnsi="Helvetica" w:cs="Helvetica"/>
          <w:color w:val="2A2B2C"/>
        </w:rPr>
      </w:pPr>
      <w:r>
        <w:rPr>
          <w:rFonts w:ascii="Helvetica" w:hAnsi="Helvetica" w:cs="Helvetica"/>
          <w:color w:val="2A2B2C"/>
        </w:rPr>
        <w:t>PR</w:t>
      </w:r>
      <w:r w:rsidR="00D16EF7">
        <w:rPr>
          <w:rFonts w:ascii="Helvetica" w:hAnsi="Helvetica" w:cs="Helvetica"/>
          <w:color w:val="2A2B2C"/>
        </w:rPr>
        <w:t>8</w:t>
      </w:r>
      <w:r w:rsidR="007731D5">
        <w:rPr>
          <w:rFonts w:ascii="Helvetica" w:hAnsi="Helvetica" w:cs="Helvetica"/>
          <w:color w:val="2A2B2C"/>
        </w:rPr>
        <w:t xml:space="preserve">: </w:t>
      </w:r>
      <w:r w:rsidR="00B44892" w:rsidRPr="00F90BC7">
        <w:rPr>
          <w:rFonts w:ascii="Helvetica" w:hAnsi="Helvetica" w:cs="Helvetica"/>
          <w:color w:val="2A2B2C"/>
        </w:rPr>
        <w:t xml:space="preserve">IT Contract Language Standards </w:t>
      </w:r>
      <w:r w:rsidR="00B44892">
        <w:rPr>
          <w:rFonts w:ascii="Helvetica" w:hAnsi="Helvetica" w:cs="Helvetica"/>
          <w:color w:val="2A2B2C"/>
        </w:rPr>
        <w:t>– ETS is planning to prepare recommended standard clauses for IT contracts.</w:t>
      </w:r>
    </w:p>
    <w:p w14:paraId="53E6CB9E" w14:textId="7EA3581E" w:rsidR="008471DF" w:rsidRDefault="00186959" w:rsidP="008471DF">
      <w:pPr>
        <w:numPr>
          <w:ilvl w:val="1"/>
          <w:numId w:val="1"/>
        </w:numPr>
        <w:rPr>
          <w:rFonts w:ascii="Helvetica" w:hAnsi="Helvetica" w:cs="Helvetica"/>
          <w:color w:val="2A2B2C"/>
        </w:rPr>
      </w:pPr>
      <w:r>
        <w:rPr>
          <w:rFonts w:ascii="Helvetica" w:hAnsi="Helvetica" w:cs="Helvetica"/>
          <w:color w:val="2A2B2C"/>
        </w:rPr>
        <w:t>PR</w:t>
      </w:r>
      <w:r w:rsidR="00D16EF7">
        <w:rPr>
          <w:rFonts w:ascii="Helvetica" w:hAnsi="Helvetica" w:cs="Helvetica"/>
          <w:color w:val="2A2B2C"/>
        </w:rPr>
        <w:t>9</w:t>
      </w:r>
      <w:r>
        <w:rPr>
          <w:rFonts w:ascii="Helvetica" w:hAnsi="Helvetica" w:cs="Helvetica"/>
          <w:color w:val="2A2B2C"/>
        </w:rPr>
        <w:t xml:space="preserve">: </w:t>
      </w:r>
      <w:r w:rsidR="008471DF" w:rsidRPr="00F90BC7">
        <w:rPr>
          <w:rFonts w:ascii="Helvetica" w:hAnsi="Helvetica" w:cs="Helvetica"/>
          <w:color w:val="2A2B2C"/>
        </w:rPr>
        <w:t>Phase Gates in Dev</w:t>
      </w:r>
      <w:r w:rsidR="008471DF">
        <w:rPr>
          <w:rFonts w:ascii="Helvetica" w:hAnsi="Helvetica" w:cs="Helvetica"/>
          <w:color w:val="2A2B2C"/>
        </w:rPr>
        <w:t>elopment</w:t>
      </w:r>
      <w:r w:rsidR="008471DF" w:rsidRPr="00F90BC7">
        <w:rPr>
          <w:rFonts w:ascii="Helvetica" w:hAnsi="Helvetica" w:cs="Helvetica"/>
          <w:color w:val="2A2B2C"/>
        </w:rPr>
        <w:t xml:space="preserve"> as Off-Ramps (PAC approval)</w:t>
      </w:r>
      <w:r w:rsidR="008471DF">
        <w:rPr>
          <w:rFonts w:ascii="Helvetica" w:hAnsi="Helvetica" w:cs="Helvetica"/>
          <w:color w:val="2A2B2C"/>
        </w:rPr>
        <w:t xml:space="preserve"> – ETS is currently reevaluating the PAC approval process to determine if additional approvals should be required at other development or operations lifecycle stages.</w:t>
      </w:r>
    </w:p>
    <w:p w14:paraId="5A000AA2" w14:textId="1DC37C93" w:rsidR="00F5633B" w:rsidRPr="00F90BC7" w:rsidRDefault="00F5633B" w:rsidP="008471DF">
      <w:pPr>
        <w:numPr>
          <w:ilvl w:val="1"/>
          <w:numId w:val="1"/>
        </w:numPr>
        <w:rPr>
          <w:rFonts w:ascii="Helvetica" w:hAnsi="Helvetica" w:cs="Helvetica"/>
          <w:color w:val="2A2B2C"/>
        </w:rPr>
      </w:pPr>
      <w:r>
        <w:rPr>
          <w:rFonts w:ascii="Helvetica" w:hAnsi="Helvetica" w:cs="Helvetica"/>
          <w:color w:val="2A2B2C"/>
        </w:rPr>
        <w:t>PR10: Guidance for Vendor Presence on Island</w:t>
      </w:r>
      <w:r w:rsidR="000F72ED">
        <w:rPr>
          <w:rFonts w:ascii="Helvetica" w:hAnsi="Helvetica" w:cs="Helvetica"/>
          <w:color w:val="2A2B2C"/>
        </w:rPr>
        <w:t>, US, and Overseas (TBD)</w:t>
      </w:r>
    </w:p>
    <w:p w14:paraId="13605C12" w14:textId="77777777" w:rsidR="00B44892" w:rsidRDefault="00B44892" w:rsidP="00F5599E">
      <w:pPr>
        <w:rPr>
          <w:rFonts w:ascii="Helvetica" w:hAnsi="Helvetica" w:cs="Helvetica"/>
          <w:color w:val="2A2B2C"/>
        </w:rPr>
      </w:pPr>
    </w:p>
    <w:p w14:paraId="498D5348" w14:textId="0246F96F" w:rsidR="00450294" w:rsidRDefault="00450294" w:rsidP="00C53204">
      <w:pPr>
        <w:pStyle w:val="ListParagraph"/>
        <w:numPr>
          <w:ilvl w:val="0"/>
          <w:numId w:val="1"/>
        </w:numPr>
        <w:rPr>
          <w:rFonts w:ascii="Helvetica" w:hAnsi="Helvetica" w:cs="Helvetica"/>
          <w:color w:val="2A2B2C"/>
        </w:rPr>
      </w:pPr>
      <w:r>
        <w:rPr>
          <w:rFonts w:ascii="Helvetica" w:hAnsi="Helvetica" w:cs="Helvetica"/>
          <w:color w:val="2A2B2C"/>
        </w:rPr>
        <w:t>Expert Assistance</w:t>
      </w:r>
      <w:r w:rsidR="00937DF1">
        <w:rPr>
          <w:rFonts w:ascii="Helvetica" w:hAnsi="Helvetica" w:cs="Helvetica"/>
          <w:color w:val="2A2B2C"/>
        </w:rPr>
        <w:t xml:space="preserve"> (EX)</w:t>
      </w:r>
    </w:p>
    <w:p w14:paraId="549EDB21" w14:textId="77777777" w:rsidR="00D35D4D" w:rsidRDefault="00D35D4D" w:rsidP="00D35D4D">
      <w:pPr>
        <w:pStyle w:val="ListParagraph"/>
        <w:rPr>
          <w:rFonts w:ascii="Helvetica" w:hAnsi="Helvetica" w:cs="Helvetica"/>
          <w:color w:val="2A2B2C"/>
        </w:rPr>
      </w:pPr>
    </w:p>
    <w:p w14:paraId="5B61B2ED" w14:textId="3ABD7AF4" w:rsidR="00450294" w:rsidRDefault="009448D0" w:rsidP="00D35D4D">
      <w:pPr>
        <w:pStyle w:val="ListParagraph"/>
        <w:numPr>
          <w:ilvl w:val="1"/>
          <w:numId w:val="1"/>
        </w:numPr>
        <w:rPr>
          <w:rFonts w:ascii="Helvetica" w:hAnsi="Helvetica" w:cs="Helvetica"/>
          <w:color w:val="2A2B2C"/>
        </w:rPr>
      </w:pPr>
      <w:r>
        <w:rPr>
          <w:rFonts w:ascii="Helvetica" w:hAnsi="Helvetica" w:cs="Helvetica"/>
          <w:color w:val="2A2B2C"/>
        </w:rPr>
        <w:t>EX</w:t>
      </w:r>
      <w:r w:rsidR="00D16EF7">
        <w:rPr>
          <w:rFonts w:ascii="Helvetica" w:hAnsi="Helvetica" w:cs="Helvetica"/>
          <w:color w:val="2A2B2C"/>
        </w:rPr>
        <w:t>9</w:t>
      </w:r>
      <w:r>
        <w:rPr>
          <w:rFonts w:ascii="Helvetica" w:hAnsi="Helvetica" w:cs="Helvetica"/>
          <w:color w:val="2A2B2C"/>
        </w:rPr>
        <w:t xml:space="preserve">: </w:t>
      </w:r>
      <w:r w:rsidR="00450294">
        <w:rPr>
          <w:rFonts w:ascii="Helvetica" w:hAnsi="Helvetica" w:cs="Helvetica"/>
          <w:color w:val="2A2B2C"/>
        </w:rPr>
        <w:t xml:space="preserve">ETS as IV&amp;V </w:t>
      </w:r>
      <w:r>
        <w:rPr>
          <w:rFonts w:ascii="Helvetica" w:hAnsi="Helvetica" w:cs="Helvetica"/>
          <w:color w:val="2A2B2C"/>
        </w:rPr>
        <w:t xml:space="preserve">– ETS plans to develop the ability to </w:t>
      </w:r>
      <w:r w:rsidR="00D35D4D">
        <w:rPr>
          <w:rFonts w:ascii="Helvetica" w:hAnsi="Helvetica" w:cs="Helvetica"/>
          <w:color w:val="2A2B2C"/>
        </w:rPr>
        <w:t>provide IV&amp;V services for non-ETS systems</w:t>
      </w:r>
      <w:r w:rsidR="007E2E67">
        <w:rPr>
          <w:rFonts w:ascii="Helvetica" w:hAnsi="Helvetica" w:cs="Helvetica"/>
          <w:color w:val="2A2B2C"/>
        </w:rPr>
        <w:t>.</w:t>
      </w:r>
    </w:p>
    <w:p w14:paraId="2630B64D" w14:textId="77777777" w:rsidR="002E72D1" w:rsidRDefault="002E72D1" w:rsidP="002E72D1">
      <w:pPr>
        <w:pStyle w:val="ListParagraph"/>
        <w:ind w:left="1440"/>
        <w:rPr>
          <w:rFonts w:ascii="Helvetica" w:hAnsi="Helvetica" w:cs="Helvetica"/>
          <w:color w:val="2A2B2C"/>
        </w:rPr>
      </w:pPr>
    </w:p>
    <w:p w14:paraId="3C594070" w14:textId="4636E78C" w:rsidR="0009378D" w:rsidRDefault="0009378D" w:rsidP="00D35D4D">
      <w:pPr>
        <w:pStyle w:val="ListParagraph"/>
        <w:numPr>
          <w:ilvl w:val="1"/>
          <w:numId w:val="1"/>
        </w:numPr>
        <w:rPr>
          <w:rFonts w:ascii="Helvetica" w:hAnsi="Helvetica" w:cs="Helvetica"/>
          <w:color w:val="2A2B2C"/>
        </w:rPr>
      </w:pPr>
      <w:r>
        <w:rPr>
          <w:rFonts w:ascii="Helvetica" w:hAnsi="Helvetica" w:cs="Helvetica"/>
          <w:color w:val="2A2B2C"/>
        </w:rPr>
        <w:t xml:space="preserve">EX10: Backfill for Business Staff </w:t>
      </w:r>
      <w:r w:rsidR="006752F5">
        <w:rPr>
          <w:rFonts w:ascii="Helvetica" w:hAnsi="Helvetica" w:cs="Helvetica"/>
          <w:color w:val="2A2B2C"/>
        </w:rPr>
        <w:t xml:space="preserve">– Vendors may expect that </w:t>
      </w:r>
      <w:r w:rsidR="00F44770">
        <w:rPr>
          <w:rFonts w:ascii="Helvetica" w:hAnsi="Helvetica" w:cs="Helvetica"/>
          <w:color w:val="2A2B2C"/>
        </w:rPr>
        <w:t xml:space="preserve">key state staff will be available full-time as needed to answer questions about business processes.  </w:t>
      </w:r>
      <w:r w:rsidR="00595D75">
        <w:rPr>
          <w:rFonts w:ascii="Helvetica" w:hAnsi="Helvetica" w:cs="Helvetica"/>
          <w:color w:val="2A2B2C"/>
        </w:rPr>
        <w:t xml:space="preserve">Ideally, you should add staff during a project to make the most knowledgeable staff available.  Failure to do so could result in delayed implementation and increased cost.  </w:t>
      </w:r>
      <w:r w:rsidR="002C1146">
        <w:rPr>
          <w:rFonts w:ascii="Helvetica" w:hAnsi="Helvetica" w:cs="Helvetica"/>
          <w:color w:val="2A2B2C"/>
        </w:rPr>
        <w:t xml:space="preserve">If you do not have adequate staff, you must have </w:t>
      </w:r>
      <w:r w:rsidR="00ED692C">
        <w:rPr>
          <w:rFonts w:ascii="Helvetica" w:hAnsi="Helvetica" w:cs="Helvetica"/>
          <w:color w:val="2A2B2C"/>
        </w:rPr>
        <w:t xml:space="preserve">clear and unequivocal availability </w:t>
      </w:r>
      <w:r w:rsidR="002C1146">
        <w:rPr>
          <w:rFonts w:ascii="Helvetica" w:hAnsi="Helvetica" w:cs="Helvetica"/>
          <w:color w:val="2A2B2C"/>
        </w:rPr>
        <w:t>information in your procurement documents</w:t>
      </w:r>
      <w:r w:rsidR="00ED692C">
        <w:rPr>
          <w:rFonts w:ascii="Helvetica" w:hAnsi="Helvetica" w:cs="Helvetica"/>
          <w:color w:val="2A2B2C"/>
        </w:rPr>
        <w:t xml:space="preserve"> and in your contract.</w:t>
      </w:r>
      <w:r w:rsidR="002C1146">
        <w:rPr>
          <w:rFonts w:ascii="Helvetica" w:hAnsi="Helvetica" w:cs="Helvetica"/>
          <w:color w:val="2A2B2C"/>
        </w:rPr>
        <w:t xml:space="preserve"> </w:t>
      </w:r>
    </w:p>
    <w:p w14:paraId="56587260" w14:textId="77777777" w:rsidR="007E2E67" w:rsidRDefault="007E2E67" w:rsidP="007E2E67">
      <w:pPr>
        <w:pStyle w:val="ListParagraph"/>
        <w:ind w:left="1440"/>
        <w:rPr>
          <w:rFonts w:ascii="Helvetica" w:hAnsi="Helvetica" w:cs="Helvetica"/>
          <w:color w:val="2A2B2C"/>
        </w:rPr>
      </w:pPr>
    </w:p>
    <w:p w14:paraId="2798AE6A" w14:textId="77777777" w:rsidR="00D35D4D" w:rsidRDefault="00D35D4D" w:rsidP="00D35D4D">
      <w:pPr>
        <w:pStyle w:val="ListParagraph"/>
        <w:rPr>
          <w:rFonts w:ascii="Helvetica" w:hAnsi="Helvetica" w:cs="Helvetica"/>
          <w:color w:val="2A2B2C"/>
        </w:rPr>
      </w:pPr>
    </w:p>
    <w:p w14:paraId="43AF843F" w14:textId="380989CA" w:rsidR="00C53204" w:rsidRPr="00C53204" w:rsidRDefault="00C53204" w:rsidP="00C53204">
      <w:pPr>
        <w:pStyle w:val="ListParagraph"/>
        <w:numPr>
          <w:ilvl w:val="0"/>
          <w:numId w:val="1"/>
        </w:numPr>
        <w:rPr>
          <w:rFonts w:ascii="Helvetica" w:hAnsi="Helvetica" w:cs="Helvetica"/>
          <w:color w:val="2A2B2C"/>
        </w:rPr>
      </w:pPr>
      <w:r w:rsidRPr="00C53204">
        <w:rPr>
          <w:rFonts w:ascii="Helvetica" w:hAnsi="Helvetica" w:cs="Helvetica"/>
          <w:color w:val="2A2B2C"/>
        </w:rPr>
        <w:t>Lifecycle</w:t>
      </w:r>
      <w:r w:rsidR="00937DF1">
        <w:rPr>
          <w:rFonts w:ascii="Helvetica" w:hAnsi="Helvetica" w:cs="Helvetica"/>
          <w:color w:val="2A2B2C"/>
        </w:rPr>
        <w:t xml:space="preserve"> (LC)</w:t>
      </w:r>
    </w:p>
    <w:p w14:paraId="3EC96434" w14:textId="7FFE0ECE" w:rsidR="000E7CEC" w:rsidRPr="00E045E4" w:rsidRDefault="00186959" w:rsidP="00D17469">
      <w:pPr>
        <w:numPr>
          <w:ilvl w:val="1"/>
          <w:numId w:val="1"/>
        </w:numPr>
        <w:rPr>
          <w:rFonts w:ascii="Helvetica" w:hAnsi="Helvetica" w:cs="Helvetica"/>
          <w:color w:val="2A2B2C"/>
        </w:rPr>
      </w:pPr>
      <w:r>
        <w:rPr>
          <w:rFonts w:ascii="Helvetica" w:hAnsi="Helvetica" w:cs="Helvetica"/>
          <w:color w:val="2A2B2C"/>
        </w:rPr>
        <w:t xml:space="preserve">LC1: </w:t>
      </w:r>
      <w:r w:rsidR="000E7CEC" w:rsidRPr="00E045E4">
        <w:rPr>
          <w:rFonts w:ascii="Helvetica" w:hAnsi="Helvetica" w:cs="Helvetica"/>
          <w:color w:val="2A2B2C"/>
        </w:rPr>
        <w:t>Project Charters –</w:t>
      </w:r>
      <w:r w:rsidR="00A23FC7" w:rsidRPr="00E045E4">
        <w:rPr>
          <w:rFonts w:ascii="Helvetica" w:hAnsi="Helvetica" w:cs="Helvetica"/>
          <w:color w:val="2A2B2C"/>
        </w:rPr>
        <w:t xml:space="preserve"> </w:t>
      </w:r>
      <w:r w:rsidR="003309EF" w:rsidRPr="00E045E4">
        <w:rPr>
          <w:rFonts w:ascii="Helvetica" w:hAnsi="Helvetica" w:cs="Helvetica"/>
          <w:color w:val="2A2B2C"/>
        </w:rPr>
        <w:t xml:space="preserve">Charters are short documents that </w:t>
      </w:r>
      <w:r w:rsidR="0027320B" w:rsidRPr="00E045E4">
        <w:rPr>
          <w:rFonts w:ascii="Helvetica" w:hAnsi="Helvetica" w:cs="Helvetica"/>
          <w:color w:val="2A2B2C"/>
        </w:rPr>
        <w:t>outline</w:t>
      </w:r>
      <w:r w:rsidR="003309EF" w:rsidRPr="00E045E4">
        <w:rPr>
          <w:rFonts w:ascii="Helvetica" w:hAnsi="Helvetica" w:cs="Helvetica"/>
          <w:color w:val="2A2B2C"/>
        </w:rPr>
        <w:t xml:space="preserve"> the details and potential benefits of a project and help teams and customers better understand its </w:t>
      </w:r>
      <w:r w:rsidR="00AC5B55" w:rsidRPr="00E045E4">
        <w:rPr>
          <w:rFonts w:ascii="Helvetica" w:hAnsi="Helvetica" w:cs="Helvetica"/>
          <w:color w:val="2A2B2C"/>
        </w:rPr>
        <w:t>purpose</w:t>
      </w:r>
      <w:r w:rsidR="001A44C6" w:rsidRPr="00E045E4">
        <w:rPr>
          <w:rFonts w:ascii="Helvetica" w:hAnsi="Helvetica" w:cs="Helvetica"/>
          <w:color w:val="2A2B2C"/>
        </w:rPr>
        <w:t xml:space="preserve">.  The document provides key information about a project </w:t>
      </w:r>
      <w:r w:rsidR="008E384C" w:rsidRPr="00E045E4">
        <w:rPr>
          <w:rFonts w:ascii="Helvetica" w:hAnsi="Helvetica" w:cs="Helvetica"/>
          <w:color w:val="2A2B2C"/>
        </w:rPr>
        <w:t>and</w:t>
      </w:r>
      <w:r w:rsidR="001A44C6" w:rsidRPr="00E045E4">
        <w:rPr>
          <w:rFonts w:ascii="Helvetica" w:hAnsi="Helvetica" w:cs="Helvetica"/>
          <w:color w:val="2A2B2C"/>
        </w:rPr>
        <w:t xml:space="preserve"> provides approval to start the project</w:t>
      </w:r>
      <w:r w:rsidR="00D16EF7">
        <w:rPr>
          <w:rFonts w:ascii="Helvetica" w:hAnsi="Helvetica" w:cs="Helvetica"/>
          <w:color w:val="2A2B2C"/>
        </w:rPr>
        <w:t xml:space="preserve"> and criteria for acc</w:t>
      </w:r>
      <w:r w:rsidR="00846776">
        <w:rPr>
          <w:rFonts w:ascii="Helvetica" w:hAnsi="Helvetica" w:cs="Helvetica"/>
          <w:color w:val="2A2B2C"/>
        </w:rPr>
        <w:t>eptance by the business</w:t>
      </w:r>
      <w:r w:rsidR="001A44C6" w:rsidRPr="00E045E4">
        <w:rPr>
          <w:rFonts w:ascii="Helvetica" w:hAnsi="Helvetica" w:cs="Helvetica"/>
          <w:color w:val="2A2B2C"/>
        </w:rPr>
        <w:t>.</w:t>
      </w:r>
    </w:p>
    <w:p w14:paraId="74B899CD" w14:textId="50611AFB" w:rsidR="00A23FC7" w:rsidRPr="00E045E4" w:rsidRDefault="00186959" w:rsidP="00A23FC7">
      <w:pPr>
        <w:numPr>
          <w:ilvl w:val="1"/>
          <w:numId w:val="1"/>
        </w:numPr>
        <w:rPr>
          <w:rFonts w:ascii="Helvetica" w:hAnsi="Helvetica" w:cs="Helvetica"/>
          <w:color w:val="2A2B2C"/>
        </w:rPr>
      </w:pPr>
      <w:r>
        <w:rPr>
          <w:rFonts w:ascii="Helvetica" w:hAnsi="Helvetica" w:cs="Helvetica"/>
          <w:color w:val="2A2B2C"/>
        </w:rPr>
        <w:t xml:space="preserve">LC2: </w:t>
      </w:r>
      <w:r w:rsidR="00A23FC7" w:rsidRPr="00E045E4">
        <w:rPr>
          <w:rFonts w:ascii="Helvetica" w:hAnsi="Helvetica" w:cs="Helvetica"/>
          <w:color w:val="2A2B2C"/>
        </w:rPr>
        <w:t xml:space="preserve">RACI Charts with </w:t>
      </w:r>
      <w:r w:rsidR="00447418" w:rsidRPr="00E045E4">
        <w:rPr>
          <w:rFonts w:ascii="Helvetica" w:hAnsi="Helvetica" w:cs="Helvetica"/>
          <w:color w:val="2A2B2C"/>
        </w:rPr>
        <w:t>Significant</w:t>
      </w:r>
      <w:r w:rsidR="00A23FC7" w:rsidRPr="00E045E4">
        <w:rPr>
          <w:rFonts w:ascii="Helvetica" w:hAnsi="Helvetica" w:cs="Helvetica"/>
          <w:color w:val="2A2B2C"/>
        </w:rPr>
        <w:t xml:space="preserve"> Detail</w:t>
      </w:r>
      <w:r w:rsidR="00BA50FA" w:rsidRPr="00E045E4">
        <w:rPr>
          <w:rFonts w:ascii="Helvetica" w:hAnsi="Helvetica" w:cs="Helvetica"/>
          <w:color w:val="2A2B2C"/>
        </w:rPr>
        <w:t xml:space="preserve"> - A RACI chart (sometimes called a Responsibility Assignment Matrix) is a way to identify your project teams' </w:t>
      </w:r>
      <w:r w:rsidR="00A85C58" w:rsidRPr="00E045E4">
        <w:rPr>
          <w:rFonts w:ascii="Helvetica" w:hAnsi="Helvetica" w:cs="Helvetica"/>
          <w:color w:val="2A2B2C"/>
        </w:rPr>
        <w:t xml:space="preserve">and stakeholders’ </w:t>
      </w:r>
      <w:r w:rsidR="00BA50FA" w:rsidRPr="00E045E4">
        <w:rPr>
          <w:rFonts w:ascii="Helvetica" w:hAnsi="Helvetica" w:cs="Helvetica"/>
          <w:color w:val="2A2B2C"/>
        </w:rPr>
        <w:t>roles and responsibilities for any task, milestone, or project deliverable. By following the RACI acronym, you can clarify responsibility and reduce confusion.</w:t>
      </w:r>
      <w:r w:rsidR="00856D81" w:rsidRPr="00E045E4">
        <w:rPr>
          <w:rFonts w:ascii="Helvetica" w:hAnsi="Helvetica" w:cs="Helvetica"/>
          <w:color w:val="2A2B2C"/>
        </w:rPr>
        <w:t xml:space="preserve"> RACI stands for Responsible, Accountable, </w:t>
      </w:r>
      <w:r w:rsidR="00447418" w:rsidRPr="00E045E4">
        <w:rPr>
          <w:rFonts w:ascii="Helvetica" w:hAnsi="Helvetica" w:cs="Helvetica"/>
          <w:color w:val="2A2B2C"/>
        </w:rPr>
        <w:t xml:space="preserve">Consulted and </w:t>
      </w:r>
      <w:r w:rsidR="00447418" w:rsidRPr="00E045E4">
        <w:rPr>
          <w:rFonts w:ascii="Helvetica" w:hAnsi="Helvetica" w:cs="Helvetica"/>
          <w:color w:val="2A2B2C"/>
        </w:rPr>
        <w:lastRenderedPageBreak/>
        <w:t>Informed.</w:t>
      </w:r>
      <w:r w:rsidR="00937086" w:rsidRPr="00E045E4">
        <w:rPr>
          <w:rFonts w:ascii="Helvetica" w:hAnsi="Helvetica" w:cs="Helvetica"/>
          <w:color w:val="2A2B2C"/>
        </w:rPr>
        <w:t xml:space="preserve">  </w:t>
      </w:r>
      <w:r w:rsidR="00937086">
        <w:rPr>
          <w:rFonts w:ascii="Helvetica" w:hAnsi="Helvetica" w:cs="Helvetica"/>
          <w:color w:val="2A2B2C"/>
        </w:rPr>
        <w:t>With a RACI chart, you can prevent poor decision making and avoid roadblocks in the approvals process that could impact overall project success.</w:t>
      </w:r>
    </w:p>
    <w:p w14:paraId="083D5E82" w14:textId="2730FFCF" w:rsidR="0013579B" w:rsidRPr="00F90BC7" w:rsidRDefault="00186959" w:rsidP="00D17469">
      <w:pPr>
        <w:numPr>
          <w:ilvl w:val="1"/>
          <w:numId w:val="1"/>
        </w:numPr>
        <w:rPr>
          <w:rFonts w:ascii="Helvetica" w:hAnsi="Helvetica" w:cs="Helvetica"/>
          <w:color w:val="2A2B2C"/>
        </w:rPr>
      </w:pPr>
      <w:r>
        <w:rPr>
          <w:rFonts w:ascii="Helvetica" w:hAnsi="Helvetica" w:cs="Helvetica"/>
          <w:color w:val="2A2B2C"/>
        </w:rPr>
        <w:t xml:space="preserve">LC3: </w:t>
      </w:r>
      <w:r w:rsidR="0013579B" w:rsidRPr="00F90BC7">
        <w:rPr>
          <w:rFonts w:ascii="Helvetica" w:hAnsi="Helvetica" w:cs="Helvetica"/>
          <w:color w:val="2A2B2C"/>
        </w:rPr>
        <w:t>User Stories and Outcome analysis</w:t>
      </w:r>
      <w:r w:rsidR="00937086" w:rsidRPr="00F90BC7">
        <w:rPr>
          <w:rFonts w:ascii="Helvetica" w:hAnsi="Helvetica" w:cs="Helvetica"/>
          <w:color w:val="2A2B2C"/>
        </w:rPr>
        <w:t xml:space="preserve"> </w:t>
      </w:r>
      <w:r w:rsidR="00CA39F9" w:rsidRPr="00F90BC7">
        <w:rPr>
          <w:rFonts w:ascii="Helvetica" w:hAnsi="Helvetica" w:cs="Helvetica"/>
          <w:color w:val="2A2B2C"/>
        </w:rPr>
        <w:t xml:space="preserve">- </w:t>
      </w:r>
      <w:r w:rsidR="005D3F89" w:rsidRPr="00F90BC7">
        <w:rPr>
          <w:rFonts w:ascii="Helvetica" w:hAnsi="Helvetica" w:cs="Helvetica"/>
          <w:color w:val="2A2B2C"/>
        </w:rPr>
        <w:t>Choosing User Stories to define requirements demonstrates an intention to work collaboratively with the users to discover what they really need and to measure the result user benefits as outcomes. </w:t>
      </w:r>
    </w:p>
    <w:p w14:paraId="1F23D00D" w14:textId="0485EC4C" w:rsidR="0013579B" w:rsidRPr="00F90BC7" w:rsidRDefault="00186959" w:rsidP="0013579B">
      <w:pPr>
        <w:numPr>
          <w:ilvl w:val="1"/>
          <w:numId w:val="1"/>
        </w:numPr>
        <w:rPr>
          <w:rFonts w:ascii="Helvetica" w:hAnsi="Helvetica" w:cs="Helvetica"/>
          <w:color w:val="2A2B2C"/>
        </w:rPr>
      </w:pPr>
      <w:r>
        <w:rPr>
          <w:rFonts w:ascii="Helvetica" w:hAnsi="Helvetica" w:cs="Helvetica"/>
          <w:color w:val="2A2B2C"/>
        </w:rPr>
        <w:t xml:space="preserve">LC4: </w:t>
      </w:r>
      <w:r w:rsidR="0013579B" w:rsidRPr="00F90BC7">
        <w:rPr>
          <w:rFonts w:ascii="Helvetica" w:hAnsi="Helvetica" w:cs="Helvetica"/>
          <w:color w:val="2A2B2C"/>
        </w:rPr>
        <w:t>State Data ETL Analysis and Plan inc</w:t>
      </w:r>
      <w:r w:rsidR="003B009B" w:rsidRPr="00F90BC7">
        <w:rPr>
          <w:rFonts w:ascii="Helvetica" w:hAnsi="Helvetica" w:cs="Helvetica"/>
          <w:color w:val="2A2B2C"/>
        </w:rPr>
        <w:t>luding</w:t>
      </w:r>
      <w:r w:rsidR="0013579B" w:rsidRPr="00F90BC7">
        <w:rPr>
          <w:rFonts w:ascii="Helvetica" w:hAnsi="Helvetica" w:cs="Helvetica"/>
          <w:color w:val="2A2B2C"/>
        </w:rPr>
        <w:t xml:space="preserve"> Vendor Role</w:t>
      </w:r>
      <w:r w:rsidR="00AB139F" w:rsidRPr="00F90BC7">
        <w:rPr>
          <w:rFonts w:ascii="Helvetica" w:hAnsi="Helvetica" w:cs="Helvetica"/>
          <w:color w:val="2A2B2C"/>
        </w:rPr>
        <w:t xml:space="preserve"> – </w:t>
      </w:r>
      <w:r w:rsidR="000F3D6E" w:rsidRPr="00F90BC7">
        <w:rPr>
          <w:rFonts w:ascii="Helvetica" w:hAnsi="Helvetica" w:cs="Helvetica"/>
          <w:color w:val="2A2B2C"/>
        </w:rPr>
        <w:t>extract, transform, load (ETL) is a three-phase process where data is extracted</w:t>
      </w:r>
      <w:r w:rsidR="00B23BAA" w:rsidRPr="00F90BC7">
        <w:rPr>
          <w:rFonts w:ascii="Helvetica" w:hAnsi="Helvetica" w:cs="Helvetica"/>
          <w:color w:val="2A2B2C"/>
        </w:rPr>
        <w:t xml:space="preserve"> from the existing system</w:t>
      </w:r>
      <w:r w:rsidR="000F3D6E" w:rsidRPr="00F90BC7">
        <w:rPr>
          <w:rFonts w:ascii="Helvetica" w:hAnsi="Helvetica" w:cs="Helvetica"/>
          <w:color w:val="2A2B2C"/>
        </w:rPr>
        <w:t xml:space="preserve">, transformed (cleaned, sanitized, scrubbed) and loaded into new system. </w:t>
      </w:r>
      <w:r w:rsidR="00B23BAA" w:rsidRPr="00F90BC7">
        <w:rPr>
          <w:rFonts w:ascii="Helvetica" w:hAnsi="Helvetica" w:cs="Helvetica"/>
          <w:color w:val="2A2B2C"/>
        </w:rPr>
        <w:t xml:space="preserve">This process is a </w:t>
      </w:r>
      <w:r w:rsidR="00A75991" w:rsidRPr="00F90BC7">
        <w:rPr>
          <w:rFonts w:ascii="Helvetica" w:hAnsi="Helvetica" w:cs="Helvetica"/>
          <w:color w:val="2A2B2C"/>
        </w:rPr>
        <w:t xml:space="preserve">key to </w:t>
      </w:r>
      <w:r w:rsidR="00B93D13" w:rsidRPr="00F90BC7">
        <w:rPr>
          <w:rFonts w:ascii="Helvetica" w:hAnsi="Helvetica" w:cs="Helvetica"/>
          <w:color w:val="2A2B2C"/>
        </w:rPr>
        <w:t>the success</w:t>
      </w:r>
      <w:r w:rsidR="00A75991" w:rsidRPr="00F90BC7">
        <w:rPr>
          <w:rFonts w:ascii="Helvetica" w:hAnsi="Helvetica" w:cs="Helvetica"/>
          <w:color w:val="2A2B2C"/>
        </w:rPr>
        <w:t xml:space="preserve"> of </w:t>
      </w:r>
      <w:r w:rsidR="00B93D13" w:rsidRPr="00F90BC7">
        <w:rPr>
          <w:rFonts w:ascii="Helvetica" w:hAnsi="Helvetica" w:cs="Helvetica"/>
          <w:color w:val="2A2B2C"/>
        </w:rPr>
        <w:t xml:space="preserve">a </w:t>
      </w:r>
      <w:r w:rsidR="00A75991" w:rsidRPr="00F90BC7">
        <w:rPr>
          <w:rFonts w:ascii="Helvetica" w:hAnsi="Helvetica" w:cs="Helvetica"/>
          <w:color w:val="2A2B2C"/>
        </w:rPr>
        <w:t>modernization</w:t>
      </w:r>
      <w:r w:rsidR="00B93D13" w:rsidRPr="00F90BC7">
        <w:rPr>
          <w:rFonts w:ascii="Helvetica" w:hAnsi="Helvetica" w:cs="Helvetica"/>
          <w:color w:val="2A2B2C"/>
        </w:rPr>
        <w:t xml:space="preserve"> project</w:t>
      </w:r>
      <w:r w:rsidR="006C5F8D" w:rsidRPr="00F90BC7">
        <w:rPr>
          <w:rFonts w:ascii="Helvetica" w:hAnsi="Helvetica" w:cs="Helvetica"/>
          <w:color w:val="2A2B2C"/>
        </w:rPr>
        <w:t>. Vendor and government</w:t>
      </w:r>
      <w:r w:rsidR="00A75991" w:rsidRPr="00F90BC7">
        <w:rPr>
          <w:rFonts w:ascii="Helvetica" w:hAnsi="Helvetica" w:cs="Helvetica"/>
          <w:color w:val="2A2B2C"/>
        </w:rPr>
        <w:t xml:space="preserve"> </w:t>
      </w:r>
      <w:r w:rsidR="00585F39" w:rsidRPr="00F90BC7">
        <w:rPr>
          <w:rFonts w:ascii="Helvetica" w:hAnsi="Helvetica" w:cs="Helvetica"/>
          <w:color w:val="2A2B2C"/>
        </w:rPr>
        <w:t xml:space="preserve">ETL </w:t>
      </w:r>
      <w:r w:rsidR="006C5F8D" w:rsidRPr="00F90BC7">
        <w:rPr>
          <w:rFonts w:ascii="Helvetica" w:hAnsi="Helvetica" w:cs="Helvetica"/>
          <w:color w:val="2A2B2C"/>
        </w:rPr>
        <w:t xml:space="preserve">roles and </w:t>
      </w:r>
      <w:r w:rsidR="00B93D13" w:rsidRPr="00F90BC7">
        <w:rPr>
          <w:rFonts w:ascii="Helvetica" w:hAnsi="Helvetica" w:cs="Helvetica"/>
          <w:color w:val="2A2B2C"/>
        </w:rPr>
        <w:t>responsibilities</w:t>
      </w:r>
      <w:r w:rsidR="006C5F8D" w:rsidRPr="00F90BC7">
        <w:rPr>
          <w:rFonts w:ascii="Helvetica" w:hAnsi="Helvetica" w:cs="Helvetica"/>
          <w:color w:val="2A2B2C"/>
        </w:rPr>
        <w:t xml:space="preserve"> </w:t>
      </w:r>
      <w:r w:rsidR="00A75991" w:rsidRPr="00F90BC7">
        <w:rPr>
          <w:rFonts w:ascii="Helvetica" w:hAnsi="Helvetica" w:cs="Helvetica"/>
          <w:color w:val="2A2B2C"/>
        </w:rPr>
        <w:t>must be carefully explained in RFP documents</w:t>
      </w:r>
      <w:r w:rsidR="00B93D13" w:rsidRPr="00F90BC7">
        <w:rPr>
          <w:rFonts w:ascii="Helvetica" w:hAnsi="Helvetica" w:cs="Helvetica"/>
          <w:color w:val="2A2B2C"/>
        </w:rPr>
        <w:t xml:space="preserve">, including who will provide </w:t>
      </w:r>
      <w:r w:rsidR="00585F39" w:rsidRPr="00F90BC7">
        <w:rPr>
          <w:rFonts w:ascii="Helvetica" w:hAnsi="Helvetica" w:cs="Helvetica"/>
          <w:color w:val="2A2B2C"/>
        </w:rPr>
        <w:t xml:space="preserve">and apply </w:t>
      </w:r>
      <w:r w:rsidR="00B93D13" w:rsidRPr="00F90BC7">
        <w:rPr>
          <w:rFonts w:ascii="Helvetica" w:hAnsi="Helvetica" w:cs="Helvetica"/>
          <w:color w:val="2A2B2C"/>
        </w:rPr>
        <w:t>ETL tools</w:t>
      </w:r>
      <w:r w:rsidR="00874A77" w:rsidRPr="00F90BC7">
        <w:rPr>
          <w:rFonts w:ascii="Helvetica" w:hAnsi="Helvetica" w:cs="Helvetica"/>
          <w:color w:val="2A2B2C"/>
        </w:rPr>
        <w:t xml:space="preserve">.  A RACI matrix is a good way to lay out detailed responsibility for ETL.  In the absence of a state-provided ETL tool, </w:t>
      </w:r>
      <w:r w:rsidR="00C26EAE" w:rsidRPr="00F90BC7">
        <w:rPr>
          <w:rFonts w:ascii="Helvetica" w:hAnsi="Helvetica" w:cs="Helvetica"/>
          <w:color w:val="2A2B2C"/>
        </w:rPr>
        <w:t>the vendor must provide a tool-set for ETL.</w:t>
      </w:r>
    </w:p>
    <w:p w14:paraId="3BF1524C" w14:textId="7D3A4153" w:rsidR="0013579B" w:rsidRPr="00F90BC7" w:rsidRDefault="00186959" w:rsidP="0013579B">
      <w:pPr>
        <w:numPr>
          <w:ilvl w:val="1"/>
          <w:numId w:val="1"/>
        </w:numPr>
        <w:rPr>
          <w:rFonts w:ascii="Helvetica" w:hAnsi="Helvetica" w:cs="Helvetica"/>
          <w:color w:val="2A2B2C"/>
        </w:rPr>
      </w:pPr>
      <w:r>
        <w:rPr>
          <w:rFonts w:ascii="Helvetica" w:hAnsi="Helvetica" w:cs="Helvetica"/>
          <w:color w:val="2A2B2C"/>
        </w:rPr>
        <w:t xml:space="preserve">LC5: </w:t>
      </w:r>
      <w:r w:rsidR="0013579B" w:rsidRPr="00F90BC7">
        <w:rPr>
          <w:rFonts w:ascii="Helvetica" w:hAnsi="Helvetica" w:cs="Helvetica"/>
          <w:color w:val="2A2B2C"/>
        </w:rPr>
        <w:t xml:space="preserve">Automated Testing Program </w:t>
      </w:r>
      <w:r w:rsidR="00A568A8" w:rsidRPr="00F90BC7">
        <w:rPr>
          <w:rFonts w:ascii="Helvetica" w:hAnsi="Helvetica" w:cs="Helvetica"/>
          <w:color w:val="2A2B2C"/>
        </w:rPr>
        <w:t xml:space="preserve">– </w:t>
      </w:r>
      <w:r w:rsidR="009D182F" w:rsidRPr="00F90BC7">
        <w:rPr>
          <w:rFonts w:ascii="Helvetica" w:hAnsi="Helvetica" w:cs="Helvetica"/>
          <w:color w:val="2A2B2C"/>
        </w:rPr>
        <w:t>A</w:t>
      </w:r>
      <w:r w:rsidR="009A4995" w:rsidRPr="00F90BC7">
        <w:rPr>
          <w:rFonts w:ascii="Helvetica" w:hAnsi="Helvetica" w:cs="Helvetica"/>
          <w:color w:val="2A2B2C"/>
        </w:rPr>
        <w:t>utomated testing</w:t>
      </w:r>
      <w:r w:rsidR="002E1C8B" w:rsidRPr="00F90BC7">
        <w:rPr>
          <w:rFonts w:ascii="Helvetica" w:hAnsi="Helvetica" w:cs="Helvetica"/>
          <w:color w:val="2A2B2C"/>
        </w:rPr>
        <w:t xml:space="preserve"> is essential to running modern IT systems</w:t>
      </w:r>
      <w:r w:rsidR="00CD4E7A" w:rsidRPr="00F90BC7">
        <w:rPr>
          <w:rFonts w:ascii="Helvetica" w:hAnsi="Helvetica" w:cs="Helvetica"/>
          <w:color w:val="2A2B2C"/>
        </w:rPr>
        <w:t xml:space="preserve"> both during development and operations</w:t>
      </w:r>
      <w:r w:rsidR="002E1C8B" w:rsidRPr="00F90BC7">
        <w:rPr>
          <w:rFonts w:ascii="Helvetica" w:hAnsi="Helvetica" w:cs="Helvetica"/>
          <w:color w:val="2A2B2C"/>
        </w:rPr>
        <w:t>.  In automated testing</w:t>
      </w:r>
      <w:r w:rsidR="009A4995" w:rsidRPr="00F90BC7">
        <w:rPr>
          <w:rFonts w:ascii="Helvetica" w:hAnsi="Helvetica" w:cs="Helvetica"/>
          <w:color w:val="2A2B2C"/>
        </w:rPr>
        <w:t>, tests are executed automatically via test automation tools and software.</w:t>
      </w:r>
      <w:r w:rsidR="00C814C5" w:rsidRPr="00F90BC7">
        <w:rPr>
          <w:rFonts w:ascii="Helvetica" w:hAnsi="Helvetica" w:cs="Helvetica"/>
          <w:color w:val="2A2B2C"/>
        </w:rPr>
        <w:t xml:space="preserve">  In manual testing, a human performs the tests step by step, with or without test scripts.  </w:t>
      </w:r>
      <w:r w:rsidR="001F4DD7" w:rsidRPr="00F90BC7">
        <w:rPr>
          <w:rFonts w:ascii="Helvetica" w:hAnsi="Helvetica" w:cs="Helvetica"/>
          <w:color w:val="2A2B2C"/>
        </w:rPr>
        <w:t xml:space="preserve">Manual Testing shows lower accuracy </w:t>
      </w:r>
      <w:r w:rsidR="007B5E7D" w:rsidRPr="00F90BC7">
        <w:rPr>
          <w:rFonts w:ascii="Helvetica" w:hAnsi="Helvetica" w:cs="Helvetica"/>
          <w:color w:val="2A2B2C"/>
        </w:rPr>
        <w:t xml:space="preserve">and takes </w:t>
      </w:r>
      <w:r w:rsidR="003308AD" w:rsidRPr="00F90BC7">
        <w:rPr>
          <w:rFonts w:ascii="Helvetica" w:hAnsi="Helvetica" w:cs="Helvetica"/>
          <w:color w:val="2A2B2C"/>
        </w:rPr>
        <w:t>significant</w:t>
      </w:r>
      <w:r w:rsidR="007B5E7D" w:rsidRPr="00F90BC7">
        <w:rPr>
          <w:rFonts w:ascii="Helvetica" w:hAnsi="Helvetica" w:cs="Helvetica"/>
          <w:color w:val="2A2B2C"/>
        </w:rPr>
        <w:t xml:space="preserve"> amounts of workforce time.  However, m</w:t>
      </w:r>
      <w:r w:rsidR="001F4DD7" w:rsidRPr="00F90BC7">
        <w:rPr>
          <w:rFonts w:ascii="Helvetica" w:hAnsi="Helvetica" w:cs="Helvetica"/>
          <w:color w:val="2A2B2C"/>
        </w:rPr>
        <w:t xml:space="preserve">anual </w:t>
      </w:r>
      <w:r w:rsidR="007B5E7D" w:rsidRPr="00F90BC7">
        <w:rPr>
          <w:rFonts w:ascii="Helvetica" w:hAnsi="Helvetica" w:cs="Helvetica"/>
          <w:color w:val="2A2B2C"/>
        </w:rPr>
        <w:t>t</w:t>
      </w:r>
      <w:r w:rsidR="001F4DD7" w:rsidRPr="00F90BC7">
        <w:rPr>
          <w:rFonts w:ascii="Helvetica" w:hAnsi="Helvetica" w:cs="Helvetica"/>
          <w:color w:val="2A2B2C"/>
        </w:rPr>
        <w:t xml:space="preserve">esting </w:t>
      </w:r>
      <w:r w:rsidR="00EB3711" w:rsidRPr="00F90BC7">
        <w:rPr>
          <w:rFonts w:ascii="Helvetica" w:hAnsi="Helvetica" w:cs="Helvetica"/>
          <w:color w:val="2A2B2C"/>
        </w:rPr>
        <w:t>still needs to be done as part of user acceptance testing to ensure the system works we</w:t>
      </w:r>
      <w:r w:rsidR="002C00F8" w:rsidRPr="00F90BC7">
        <w:rPr>
          <w:rFonts w:ascii="Helvetica" w:hAnsi="Helvetica" w:cs="Helvetica"/>
          <w:color w:val="2A2B2C"/>
        </w:rPr>
        <w:t xml:space="preserve">ll and interface to users is appropriate.  </w:t>
      </w:r>
      <w:r w:rsidR="005F0BB8" w:rsidRPr="00F90BC7">
        <w:rPr>
          <w:rFonts w:ascii="Helvetica" w:hAnsi="Helvetica" w:cs="Helvetica"/>
          <w:color w:val="2A2B2C"/>
        </w:rPr>
        <w:t>Automated testing requirements should be included in RFP and contract language</w:t>
      </w:r>
      <w:r w:rsidR="00833230" w:rsidRPr="00F90BC7">
        <w:rPr>
          <w:rFonts w:ascii="Helvetica" w:hAnsi="Helvetica" w:cs="Helvetica"/>
          <w:color w:val="2A2B2C"/>
        </w:rPr>
        <w:t xml:space="preserve"> including who will do what and who will provide the tooling.  Automated testing is also needed after development due to regular system upgrades.  </w:t>
      </w:r>
      <w:r w:rsidR="006E5785" w:rsidRPr="00F90BC7">
        <w:rPr>
          <w:rFonts w:ascii="Helvetica" w:hAnsi="Helvetica" w:cs="Helvetica"/>
          <w:color w:val="2A2B2C"/>
        </w:rPr>
        <w:t>It may be necessary for the vendor to provide user stories or test scripts for upgrades and enhancements</w:t>
      </w:r>
      <w:r w:rsidR="004D43C7" w:rsidRPr="00F90BC7">
        <w:rPr>
          <w:rFonts w:ascii="Helvetica" w:hAnsi="Helvetica" w:cs="Helvetica"/>
          <w:color w:val="2A2B2C"/>
        </w:rPr>
        <w:t xml:space="preserve"> during the maintenance and operation phase</w:t>
      </w:r>
      <w:r w:rsidR="006E5785" w:rsidRPr="00F90BC7">
        <w:rPr>
          <w:rFonts w:ascii="Helvetica" w:hAnsi="Helvetica" w:cs="Helvetica"/>
          <w:color w:val="2A2B2C"/>
        </w:rPr>
        <w:t>.</w:t>
      </w:r>
    </w:p>
    <w:p w14:paraId="33EF03B4" w14:textId="4DCAC636" w:rsidR="0013579B" w:rsidRDefault="00186959" w:rsidP="0013579B">
      <w:pPr>
        <w:numPr>
          <w:ilvl w:val="1"/>
          <w:numId w:val="1"/>
        </w:numPr>
        <w:rPr>
          <w:rFonts w:ascii="Helvetica" w:hAnsi="Helvetica" w:cs="Helvetica"/>
          <w:color w:val="2A2B2C"/>
        </w:rPr>
      </w:pPr>
      <w:r>
        <w:rPr>
          <w:rFonts w:ascii="Helvetica" w:hAnsi="Helvetica" w:cs="Helvetica"/>
          <w:color w:val="2A2B2C"/>
        </w:rPr>
        <w:t xml:space="preserve">LC6: </w:t>
      </w:r>
      <w:r w:rsidR="00FA0445" w:rsidRPr="00F90BC7">
        <w:rPr>
          <w:rFonts w:ascii="Helvetica" w:hAnsi="Helvetica" w:cs="Helvetica"/>
          <w:color w:val="2A2B2C"/>
        </w:rPr>
        <w:t xml:space="preserve">Documentation - </w:t>
      </w:r>
      <w:r w:rsidR="0013579B" w:rsidRPr="00F90BC7">
        <w:rPr>
          <w:rFonts w:ascii="Helvetica" w:hAnsi="Helvetica" w:cs="Helvetica"/>
          <w:color w:val="2A2B2C"/>
        </w:rPr>
        <w:t xml:space="preserve">Business Process </w:t>
      </w:r>
      <w:r w:rsidR="008752F2" w:rsidRPr="00F90BC7">
        <w:rPr>
          <w:rFonts w:ascii="Helvetica" w:hAnsi="Helvetica" w:cs="Helvetica"/>
          <w:color w:val="2A2B2C"/>
        </w:rPr>
        <w:t xml:space="preserve">and Technical </w:t>
      </w:r>
      <w:r w:rsidR="0013579B" w:rsidRPr="00F90BC7">
        <w:rPr>
          <w:rFonts w:ascii="Helvetica" w:hAnsi="Helvetica" w:cs="Helvetica"/>
          <w:color w:val="2A2B2C"/>
        </w:rPr>
        <w:t xml:space="preserve">Documentation </w:t>
      </w:r>
      <w:r w:rsidR="00F94A57" w:rsidRPr="00F90BC7">
        <w:rPr>
          <w:rFonts w:ascii="Helvetica" w:hAnsi="Helvetica" w:cs="Helvetica"/>
          <w:color w:val="2A2B2C"/>
        </w:rPr>
        <w:t xml:space="preserve">must be a requirement </w:t>
      </w:r>
      <w:r w:rsidR="00A6623E" w:rsidRPr="00F90BC7">
        <w:rPr>
          <w:rFonts w:ascii="Helvetica" w:hAnsi="Helvetica" w:cs="Helvetica"/>
          <w:color w:val="2A2B2C"/>
        </w:rPr>
        <w:t xml:space="preserve">in the development and operation </w:t>
      </w:r>
      <w:r w:rsidR="00F94A57" w:rsidRPr="00F90BC7">
        <w:rPr>
          <w:rFonts w:ascii="Helvetica" w:hAnsi="Helvetica" w:cs="Helvetica"/>
          <w:color w:val="2A2B2C"/>
        </w:rPr>
        <w:t xml:space="preserve">of any system.  Both </w:t>
      </w:r>
      <w:r w:rsidR="0013579B" w:rsidRPr="00F90BC7">
        <w:rPr>
          <w:rFonts w:ascii="Helvetica" w:hAnsi="Helvetica" w:cs="Helvetica"/>
          <w:color w:val="2A2B2C"/>
        </w:rPr>
        <w:t>As-Is and To-Be</w:t>
      </w:r>
      <w:r w:rsidR="00F94A57" w:rsidRPr="00F90BC7">
        <w:rPr>
          <w:rFonts w:ascii="Helvetica" w:hAnsi="Helvetica" w:cs="Helvetica"/>
          <w:color w:val="2A2B2C"/>
        </w:rPr>
        <w:t xml:space="preserve"> </w:t>
      </w:r>
      <w:r w:rsidR="00FC4D62" w:rsidRPr="00F90BC7">
        <w:rPr>
          <w:rFonts w:ascii="Helvetica" w:hAnsi="Helvetica" w:cs="Helvetica"/>
          <w:color w:val="2A2B2C"/>
        </w:rPr>
        <w:t>should be described</w:t>
      </w:r>
      <w:r w:rsidR="008D19A9" w:rsidRPr="00F90BC7">
        <w:rPr>
          <w:rFonts w:ascii="Helvetica" w:hAnsi="Helvetica" w:cs="Helvetica"/>
          <w:color w:val="2A2B2C"/>
        </w:rPr>
        <w:t xml:space="preserve"> in system runbooks</w:t>
      </w:r>
      <w:r w:rsidR="00FC4D62" w:rsidRPr="00F90BC7">
        <w:rPr>
          <w:rFonts w:ascii="Helvetica" w:hAnsi="Helvetica" w:cs="Helvetica"/>
          <w:color w:val="2A2B2C"/>
        </w:rPr>
        <w:t xml:space="preserve">.  </w:t>
      </w:r>
      <w:r w:rsidR="00BE44E4" w:rsidRPr="00F90BC7">
        <w:rPr>
          <w:rFonts w:ascii="Helvetica" w:hAnsi="Helvetica" w:cs="Helvetica"/>
          <w:color w:val="2A2B2C"/>
        </w:rPr>
        <w:t xml:space="preserve">Runbooks provide IT </w:t>
      </w:r>
      <w:r w:rsidR="008D19A9" w:rsidRPr="00F90BC7">
        <w:rPr>
          <w:rFonts w:ascii="Helvetica" w:hAnsi="Helvetica" w:cs="Helvetica"/>
          <w:color w:val="2A2B2C"/>
        </w:rPr>
        <w:t xml:space="preserve">system </w:t>
      </w:r>
      <w:r w:rsidR="00BE44E4" w:rsidRPr="00F90BC7">
        <w:rPr>
          <w:rFonts w:ascii="Helvetica" w:hAnsi="Helvetica" w:cs="Helvetica"/>
          <w:color w:val="2A2B2C"/>
        </w:rPr>
        <w:t xml:space="preserve">teams with contextual documents that increase consistency and efficiency through standardization. They act as a walkthrough or step-by-step guide for both new and experienced professionals </w:t>
      </w:r>
      <w:r w:rsidR="00890026" w:rsidRPr="00F90BC7">
        <w:rPr>
          <w:rFonts w:ascii="Helvetica" w:hAnsi="Helvetica" w:cs="Helvetica"/>
          <w:color w:val="2A2B2C"/>
        </w:rPr>
        <w:t>working on or using the system</w:t>
      </w:r>
      <w:r w:rsidR="00BE44E4" w:rsidRPr="00F90BC7">
        <w:rPr>
          <w:rFonts w:ascii="Helvetica" w:hAnsi="Helvetica" w:cs="Helvetica"/>
          <w:color w:val="2A2B2C"/>
        </w:rPr>
        <w:t>.</w:t>
      </w:r>
      <w:r w:rsidR="00890026" w:rsidRPr="00F90BC7">
        <w:rPr>
          <w:rFonts w:ascii="Helvetica" w:hAnsi="Helvetica" w:cs="Helvetica"/>
          <w:color w:val="2A2B2C"/>
        </w:rPr>
        <w:t xml:space="preserve">  They are also useful for training</w:t>
      </w:r>
      <w:r w:rsidR="00226F3D" w:rsidRPr="00F90BC7">
        <w:rPr>
          <w:rFonts w:ascii="Helvetica" w:hAnsi="Helvetica" w:cs="Helvetica"/>
          <w:color w:val="2A2B2C"/>
        </w:rPr>
        <w:t>, testing, trouble-shooting and incident management and help reduce down-time.</w:t>
      </w:r>
      <w:r w:rsidR="00444510" w:rsidRPr="00F90BC7">
        <w:rPr>
          <w:rFonts w:ascii="Helvetica" w:hAnsi="Helvetica" w:cs="Helvetica"/>
          <w:color w:val="2A2B2C"/>
        </w:rPr>
        <w:t xml:space="preserve">  IT Infrastructure Library (ITI</w:t>
      </w:r>
      <w:r w:rsidR="00A6623E" w:rsidRPr="00F90BC7">
        <w:rPr>
          <w:rFonts w:ascii="Helvetica" w:hAnsi="Helvetica" w:cs="Helvetica"/>
          <w:color w:val="2A2B2C"/>
        </w:rPr>
        <w:t xml:space="preserve">L) </w:t>
      </w:r>
      <w:r w:rsidR="00444510" w:rsidRPr="00F90BC7">
        <w:rPr>
          <w:rFonts w:ascii="Helvetica" w:hAnsi="Helvetica" w:cs="Helvetica"/>
          <w:color w:val="2A2B2C"/>
        </w:rPr>
        <w:t>pro</w:t>
      </w:r>
      <w:r w:rsidR="00A6623E" w:rsidRPr="00F90BC7">
        <w:rPr>
          <w:rFonts w:ascii="Helvetica" w:hAnsi="Helvetica" w:cs="Helvetica"/>
          <w:color w:val="2A2B2C"/>
        </w:rPr>
        <w:t xml:space="preserve">tocols and </w:t>
      </w:r>
      <w:r w:rsidR="0015154B" w:rsidRPr="00F90BC7">
        <w:rPr>
          <w:rFonts w:ascii="Helvetica" w:hAnsi="Helvetica" w:cs="Helvetica"/>
          <w:color w:val="2A2B2C"/>
        </w:rPr>
        <w:t>Business Process Management Notation protocols should be adhered to in the documentation.</w:t>
      </w:r>
    </w:p>
    <w:p w14:paraId="4F9DA8B9" w14:textId="4F1D3A0E" w:rsidR="00777A22" w:rsidRDefault="00186959" w:rsidP="00777A22">
      <w:pPr>
        <w:numPr>
          <w:ilvl w:val="1"/>
          <w:numId w:val="1"/>
        </w:numPr>
        <w:rPr>
          <w:rFonts w:ascii="Helvetica" w:hAnsi="Helvetica" w:cs="Helvetica"/>
          <w:color w:val="2A2B2C"/>
        </w:rPr>
      </w:pPr>
      <w:r>
        <w:rPr>
          <w:rFonts w:ascii="Helvetica" w:hAnsi="Helvetica" w:cs="Helvetica"/>
          <w:color w:val="2A2B2C"/>
        </w:rPr>
        <w:t xml:space="preserve">LC7: </w:t>
      </w:r>
      <w:r w:rsidR="00777A22" w:rsidRPr="00F90BC7">
        <w:rPr>
          <w:rFonts w:ascii="Helvetica" w:hAnsi="Helvetica" w:cs="Helvetica"/>
          <w:color w:val="2A2B2C"/>
        </w:rPr>
        <w:t xml:space="preserve">Configuration Control Board (CCB) – During development and operations, it will be important to have a process to evaluate and execute system changes systematically.  The group is responsible for recommending or making decisions on requested changes to baselined work. These changes may affect requirements, features, code, or infrastructure and may also impact planned shut-downs of operating systems.  The group should have a Change Control </w:t>
      </w:r>
      <w:r w:rsidR="00777A22" w:rsidRPr="00F90BC7">
        <w:rPr>
          <w:rFonts w:ascii="Helvetica" w:hAnsi="Helvetica" w:cs="Helvetica"/>
          <w:color w:val="2A2B2C"/>
        </w:rPr>
        <w:lastRenderedPageBreak/>
        <w:t xml:space="preserve">Plan and may be advised by a lower-level working group. The CCB should include IT and business leaders.  </w:t>
      </w:r>
    </w:p>
    <w:p w14:paraId="6E5E96C6" w14:textId="44FC6B5F" w:rsidR="00777A22" w:rsidRDefault="00186959" w:rsidP="00777A22">
      <w:pPr>
        <w:numPr>
          <w:ilvl w:val="1"/>
          <w:numId w:val="1"/>
        </w:numPr>
        <w:rPr>
          <w:rFonts w:ascii="Helvetica" w:hAnsi="Helvetica" w:cs="Helvetica"/>
          <w:color w:val="2A2B2C"/>
        </w:rPr>
      </w:pPr>
      <w:r>
        <w:rPr>
          <w:rFonts w:ascii="Helvetica" w:hAnsi="Helvetica" w:cs="Helvetica"/>
          <w:color w:val="2A2B2C"/>
        </w:rPr>
        <w:t xml:space="preserve">LC8: </w:t>
      </w:r>
      <w:r w:rsidR="00777A22">
        <w:rPr>
          <w:rFonts w:ascii="Helvetica" w:hAnsi="Helvetica" w:cs="Helvetica"/>
          <w:color w:val="2A2B2C"/>
        </w:rPr>
        <w:t>Backup and Disaster Recovery – Each IT system must have a documented backup and disaster recovery process that is tested as appropriate.</w:t>
      </w:r>
    </w:p>
    <w:p w14:paraId="3DCB1467" w14:textId="0AF471F6" w:rsidR="00777A22" w:rsidRDefault="00186959" w:rsidP="00777A22">
      <w:pPr>
        <w:numPr>
          <w:ilvl w:val="1"/>
          <w:numId w:val="1"/>
        </w:numPr>
        <w:rPr>
          <w:rFonts w:ascii="Helvetica" w:hAnsi="Helvetica" w:cs="Helvetica"/>
          <w:color w:val="2A2B2C"/>
        </w:rPr>
      </w:pPr>
      <w:r>
        <w:rPr>
          <w:rFonts w:ascii="Helvetica" w:hAnsi="Helvetica" w:cs="Helvetica"/>
          <w:color w:val="2A2B2C"/>
        </w:rPr>
        <w:t xml:space="preserve">LC9: </w:t>
      </w:r>
      <w:r w:rsidR="00777A22">
        <w:rPr>
          <w:rFonts w:ascii="Helvetica" w:hAnsi="Helvetica" w:cs="Helvetica"/>
          <w:color w:val="2A2B2C"/>
        </w:rPr>
        <w:t>Lifecycle Planning – Each IT system must have a lifecycle plan for regular business and technology architectural reviews with projected modernizations or replacement of the system.</w:t>
      </w:r>
    </w:p>
    <w:p w14:paraId="32DA919B" w14:textId="5A2EBC23" w:rsidR="00777A22" w:rsidRPr="00F11047" w:rsidRDefault="00186959" w:rsidP="00777A22">
      <w:pPr>
        <w:numPr>
          <w:ilvl w:val="1"/>
          <w:numId w:val="1"/>
        </w:numPr>
        <w:rPr>
          <w:rFonts w:ascii="Helvetica" w:hAnsi="Helvetica" w:cs="Helvetica"/>
          <w:color w:val="2A2B2C"/>
        </w:rPr>
      </w:pPr>
      <w:r>
        <w:rPr>
          <w:rFonts w:ascii="Helvetica" w:hAnsi="Helvetica" w:cs="Helvetica"/>
          <w:color w:val="2A2B2C"/>
        </w:rPr>
        <w:t xml:space="preserve">LC10: </w:t>
      </w:r>
      <w:r w:rsidR="00777A22">
        <w:rPr>
          <w:rFonts w:ascii="Helvetica" w:hAnsi="Helvetica" w:cs="Helvetica"/>
          <w:color w:val="2A2B2C"/>
        </w:rPr>
        <w:t xml:space="preserve">Technical Debt - </w:t>
      </w:r>
      <w:r w:rsidR="00777A22">
        <w:rPr>
          <w:rFonts w:ascii="Arial" w:hAnsi="Arial" w:cs="Arial"/>
          <w:color w:val="202122"/>
          <w:sz w:val="21"/>
          <w:szCs w:val="21"/>
          <w:shd w:val="clear" w:color="auto" w:fill="FFFFFF"/>
        </w:rPr>
        <w:t xml:space="preserve">Technical debt is an accumulation of design or implementation artifacts that can make future changes more costly or impossible. </w:t>
      </w:r>
      <w:r w:rsidR="00777A22">
        <w:rPr>
          <w:rFonts w:ascii="Roboto" w:hAnsi="Roboto"/>
          <w:color w:val="4D5156"/>
          <w:sz w:val="21"/>
          <w:szCs w:val="21"/>
          <w:shd w:val="clear" w:color="auto" w:fill="FFFFFF"/>
        </w:rPr>
        <w:t xml:space="preserve">Technical debt </w:t>
      </w:r>
      <w:r w:rsidR="00777A22" w:rsidRPr="00FD27D3">
        <w:rPr>
          <w:rFonts w:ascii="Helvetica" w:hAnsi="Helvetica" w:cs="Helvetica"/>
          <w:color w:val="4D5156"/>
          <w:sz w:val="21"/>
          <w:szCs w:val="21"/>
          <w:shd w:val="clear" w:color="auto" w:fill="FFFFFF"/>
        </w:rPr>
        <w:t>may</w:t>
      </w:r>
      <w:r w:rsidR="00777A22" w:rsidRPr="00FD27D3">
        <w:rPr>
          <w:rStyle w:val="Emphasis"/>
          <w:rFonts w:ascii="Helvetica" w:hAnsi="Helvetica" w:cs="Helvetica"/>
          <w:i w:val="0"/>
          <w:iCs w:val="0"/>
          <w:color w:val="5F6368"/>
          <w:sz w:val="21"/>
          <w:szCs w:val="21"/>
          <w:shd w:val="clear" w:color="auto" w:fill="FFFFFF"/>
        </w:rPr>
        <w:t xml:space="preserve"> limit future</w:t>
      </w:r>
      <w:r w:rsidR="00777A22" w:rsidRPr="00FD27D3">
        <w:rPr>
          <w:rFonts w:ascii="Helvetica" w:hAnsi="Helvetica" w:cs="Helvetica"/>
          <w:color w:val="4D5156"/>
          <w:sz w:val="21"/>
          <w:szCs w:val="21"/>
          <w:shd w:val="clear" w:color="auto" w:fill="FFFFFF"/>
        </w:rPr>
        <w:t xml:space="preserve"> maintainability</w:t>
      </w:r>
      <w:r w:rsidR="00777A22">
        <w:rPr>
          <w:rFonts w:ascii="Roboto" w:hAnsi="Roboto"/>
          <w:color w:val="4D5156"/>
          <w:sz w:val="21"/>
          <w:szCs w:val="21"/>
          <w:shd w:val="clear" w:color="auto" w:fill="FFFFFF"/>
        </w:rPr>
        <w:t xml:space="preserve"> and evolvability.  Technical debt may be known or unknown and may build during development or operations based on expediency, or a lack of resources, knowledge or capabilities. Known technical debt should be logged and considered during development and during regular architectural reviews. </w:t>
      </w:r>
    </w:p>
    <w:p w14:paraId="0610A727" w14:textId="276B6054" w:rsidR="00777A22" w:rsidRPr="00F90BC7" w:rsidRDefault="00186959" w:rsidP="00777A22">
      <w:pPr>
        <w:numPr>
          <w:ilvl w:val="1"/>
          <w:numId w:val="1"/>
        </w:numPr>
        <w:rPr>
          <w:rFonts w:ascii="Helvetica" w:hAnsi="Helvetica" w:cs="Helvetica"/>
          <w:color w:val="2A2B2C"/>
        </w:rPr>
      </w:pPr>
      <w:r>
        <w:rPr>
          <w:rFonts w:ascii="Roboto" w:hAnsi="Roboto"/>
          <w:color w:val="4D5156"/>
          <w:sz w:val="21"/>
          <w:szCs w:val="21"/>
          <w:shd w:val="clear" w:color="auto" w:fill="FFFFFF"/>
        </w:rPr>
        <w:t xml:space="preserve">LC11: </w:t>
      </w:r>
      <w:r w:rsidR="00777A22">
        <w:rPr>
          <w:rFonts w:ascii="Roboto" w:hAnsi="Roboto"/>
          <w:color w:val="4D5156"/>
          <w:sz w:val="21"/>
          <w:szCs w:val="21"/>
          <w:shd w:val="clear" w:color="auto" w:fill="FFFFFF"/>
        </w:rPr>
        <w:t xml:space="preserve">RIOD Management – IT Systems and projects should keep a log of significant </w:t>
      </w:r>
      <w:r w:rsidR="00777A22" w:rsidRPr="00550DE6">
        <w:rPr>
          <w:rFonts w:ascii="Roboto" w:hAnsi="Roboto"/>
          <w:color w:val="4D5156"/>
          <w:sz w:val="21"/>
          <w:szCs w:val="21"/>
          <w:shd w:val="clear" w:color="auto" w:fill="FFFFFF"/>
        </w:rPr>
        <w:t>risks, issues, opportunities,</w:t>
      </w:r>
      <w:r w:rsidR="00777A22">
        <w:rPr>
          <w:rFonts w:ascii="Roboto" w:hAnsi="Roboto"/>
          <w:color w:val="4D5156"/>
          <w:sz w:val="21"/>
          <w:szCs w:val="21"/>
          <w:shd w:val="clear" w:color="auto" w:fill="FFFFFF"/>
        </w:rPr>
        <w:t xml:space="preserve"> and decisions (RIOD) made during development and operations</w:t>
      </w:r>
      <w:r w:rsidR="00777A22" w:rsidRPr="00550DE6">
        <w:rPr>
          <w:rFonts w:ascii="Roboto" w:hAnsi="Roboto"/>
          <w:color w:val="4D5156"/>
          <w:sz w:val="21"/>
          <w:szCs w:val="21"/>
          <w:shd w:val="clear" w:color="auto" w:fill="FFFFFF"/>
        </w:rPr>
        <w:t xml:space="preserve">. The quality of thinking and judgment applied to these areas often will determine whether a program meets its objectives throughout the life cycle. </w:t>
      </w:r>
    </w:p>
    <w:p w14:paraId="0B864E2B" w14:textId="2D33566A" w:rsidR="00A8275F" w:rsidRPr="00F90BC7" w:rsidRDefault="00186959" w:rsidP="00A8275F">
      <w:pPr>
        <w:numPr>
          <w:ilvl w:val="1"/>
          <w:numId w:val="1"/>
        </w:numPr>
        <w:rPr>
          <w:rFonts w:ascii="Helvetica" w:hAnsi="Helvetica" w:cs="Helvetica"/>
          <w:color w:val="2A2B2C"/>
        </w:rPr>
      </w:pPr>
      <w:r>
        <w:rPr>
          <w:rFonts w:ascii="Helvetica" w:hAnsi="Helvetica" w:cs="Helvetica"/>
          <w:color w:val="2A2B2C"/>
        </w:rPr>
        <w:t xml:space="preserve">LC12: </w:t>
      </w:r>
      <w:r w:rsidR="00A8275F" w:rsidRPr="00F90BC7">
        <w:rPr>
          <w:rFonts w:ascii="Helvetica" w:hAnsi="Helvetica" w:cs="Helvetica"/>
          <w:color w:val="2A2B2C"/>
        </w:rPr>
        <w:t>Automation and AI Focus</w:t>
      </w:r>
      <w:r w:rsidR="00A8275F">
        <w:rPr>
          <w:rFonts w:ascii="Helvetica" w:hAnsi="Helvetica" w:cs="Helvetica"/>
          <w:color w:val="2A2B2C"/>
        </w:rPr>
        <w:t xml:space="preserve"> - New or modified systems should consider how data, automation and artificial intelligence (AI) can be used in an ethical manner to enhance the IT system.  Vendors should be required to disclose how they use AI in completing work under the contract.</w:t>
      </w:r>
    </w:p>
    <w:p w14:paraId="6B8BBC30" w14:textId="717F0977" w:rsidR="00186959" w:rsidRPr="00F90BC7" w:rsidRDefault="00186959" w:rsidP="00186959">
      <w:pPr>
        <w:numPr>
          <w:ilvl w:val="1"/>
          <w:numId w:val="1"/>
        </w:numPr>
        <w:rPr>
          <w:rFonts w:ascii="Helvetica" w:hAnsi="Helvetica" w:cs="Helvetica"/>
          <w:color w:val="2A2B2C"/>
        </w:rPr>
      </w:pPr>
      <w:r>
        <w:rPr>
          <w:rFonts w:ascii="Helvetica" w:hAnsi="Helvetica" w:cs="Helvetica"/>
          <w:color w:val="2A2B2C"/>
        </w:rPr>
        <w:t xml:space="preserve">LC13: </w:t>
      </w:r>
      <w:r w:rsidRPr="00F90BC7">
        <w:rPr>
          <w:rFonts w:ascii="Helvetica" w:hAnsi="Helvetica" w:cs="Helvetica"/>
          <w:color w:val="2A2B2C"/>
        </w:rPr>
        <w:t xml:space="preserve">Security Standards – ETS is planning to create </w:t>
      </w:r>
      <w:r>
        <w:rPr>
          <w:rFonts w:ascii="Helvetica" w:hAnsi="Helvetica" w:cs="Helvetica"/>
          <w:color w:val="2A2B2C"/>
        </w:rPr>
        <w:t xml:space="preserve">a </w:t>
      </w:r>
      <w:r w:rsidRPr="00F90BC7">
        <w:rPr>
          <w:rFonts w:ascii="Helvetica" w:hAnsi="Helvetica" w:cs="Helvetica"/>
          <w:color w:val="2A2B2C"/>
        </w:rPr>
        <w:t>security standards</w:t>
      </w:r>
      <w:r>
        <w:rPr>
          <w:rFonts w:ascii="Helvetica" w:hAnsi="Helvetica" w:cs="Helvetica"/>
          <w:color w:val="2A2B2C"/>
        </w:rPr>
        <w:t xml:space="preserve"> guideline and evaluation checklist </w:t>
      </w:r>
      <w:r w:rsidRPr="00F90BC7">
        <w:rPr>
          <w:rFonts w:ascii="Helvetica" w:hAnsi="Helvetica" w:cs="Helvetica"/>
          <w:color w:val="2A2B2C"/>
        </w:rPr>
        <w:t>for systems during development and operations.  Systems must be developed and operated using good cybersecurity practices and in accordance with any federal or state laws or rules that apply.</w:t>
      </w:r>
    </w:p>
    <w:p w14:paraId="105608D6" w14:textId="77777777" w:rsidR="00777A22" w:rsidRPr="00F90BC7" w:rsidRDefault="00777A22" w:rsidP="00A8275F">
      <w:pPr>
        <w:ind w:left="1440"/>
        <w:rPr>
          <w:rFonts w:ascii="Helvetica" w:hAnsi="Helvetica" w:cs="Helvetica"/>
          <w:color w:val="2A2B2C"/>
        </w:rPr>
      </w:pPr>
    </w:p>
    <w:sectPr w:rsidR="00777A22" w:rsidRPr="00F90BC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AA23" w14:textId="77777777" w:rsidR="00EB2C18" w:rsidRDefault="00EB2C18" w:rsidP="00FA3625">
      <w:pPr>
        <w:spacing w:after="0" w:line="240" w:lineRule="auto"/>
      </w:pPr>
      <w:r>
        <w:separator/>
      </w:r>
    </w:p>
  </w:endnote>
  <w:endnote w:type="continuationSeparator" w:id="0">
    <w:p w14:paraId="6C973C9A" w14:textId="77777777" w:rsidR="00EB2C18" w:rsidRDefault="00EB2C18" w:rsidP="00FA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9B27" w14:textId="77777777" w:rsidR="00AA21EE" w:rsidRDefault="00AA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251899"/>
      <w:docPartObj>
        <w:docPartGallery w:val="Page Numbers (Bottom of Page)"/>
        <w:docPartUnique/>
      </w:docPartObj>
    </w:sdtPr>
    <w:sdtEndPr>
      <w:rPr>
        <w:noProof/>
      </w:rPr>
    </w:sdtEndPr>
    <w:sdtContent>
      <w:p w14:paraId="0446E235" w14:textId="140C67BF" w:rsidR="00A715F6" w:rsidRDefault="00A715F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19D5FC0" w14:textId="66483BB7" w:rsidR="009F7FFB" w:rsidRDefault="003C5A4B">
    <w:pPr>
      <w:pStyle w:val="Footer"/>
    </w:pPr>
    <w:r>
      <w:t>Ver 2</w:t>
    </w:r>
    <w:r w:rsidR="00AA21EE">
      <w:t>.1</w:t>
    </w:r>
    <w:r>
      <w:t xml:space="preserve"> </w:t>
    </w:r>
    <w:r w:rsidR="0006004B">
      <w:t xml:space="preserve">    </w:t>
    </w:r>
    <w:r w:rsidR="00AA21EE">
      <w:t>4</w:t>
    </w:r>
    <w:r>
      <w:t>/2</w:t>
    </w:r>
    <w:r w:rsidR="00AA21EE">
      <w:t>3</w:t>
    </w:r>
    <w:r>
      <w:t>/2024 4:39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B1DB" w14:textId="77777777" w:rsidR="00AA21EE" w:rsidRDefault="00AA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1007" w14:textId="77777777" w:rsidR="00EB2C18" w:rsidRDefault="00EB2C18" w:rsidP="00FA3625">
      <w:pPr>
        <w:spacing w:after="0" w:line="240" w:lineRule="auto"/>
      </w:pPr>
      <w:r>
        <w:separator/>
      </w:r>
    </w:p>
  </w:footnote>
  <w:footnote w:type="continuationSeparator" w:id="0">
    <w:p w14:paraId="2AB8ABBF" w14:textId="77777777" w:rsidR="00EB2C18" w:rsidRDefault="00EB2C18" w:rsidP="00FA3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9155" w14:textId="77777777" w:rsidR="00AA21EE" w:rsidRDefault="00AA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9D74" w14:textId="77777777" w:rsidR="00AA21EE" w:rsidRDefault="00AA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BA9F" w14:textId="77777777" w:rsidR="00AA21EE" w:rsidRDefault="00AA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E0CBD"/>
    <w:multiLevelType w:val="hybridMultilevel"/>
    <w:tmpl w:val="BFA6B68C"/>
    <w:lvl w:ilvl="0" w:tplc="C240C464">
      <w:start w:val="1"/>
      <w:numFmt w:val="bullet"/>
      <w:lvlText w:val="•"/>
      <w:lvlJc w:val="left"/>
      <w:pPr>
        <w:tabs>
          <w:tab w:val="num" w:pos="720"/>
        </w:tabs>
        <w:ind w:left="720" w:hanging="360"/>
      </w:pPr>
      <w:rPr>
        <w:rFonts w:ascii="Arial" w:hAnsi="Arial" w:hint="default"/>
      </w:rPr>
    </w:lvl>
    <w:lvl w:ilvl="1" w:tplc="BF941798">
      <w:numFmt w:val="bullet"/>
      <w:lvlText w:val="•"/>
      <w:lvlJc w:val="left"/>
      <w:pPr>
        <w:tabs>
          <w:tab w:val="num" w:pos="1440"/>
        </w:tabs>
        <w:ind w:left="1440" w:hanging="360"/>
      </w:pPr>
      <w:rPr>
        <w:rFonts w:ascii="Arial" w:hAnsi="Arial" w:hint="default"/>
      </w:rPr>
    </w:lvl>
    <w:lvl w:ilvl="2" w:tplc="ABE26E88" w:tentative="1">
      <w:start w:val="1"/>
      <w:numFmt w:val="bullet"/>
      <w:lvlText w:val="•"/>
      <w:lvlJc w:val="left"/>
      <w:pPr>
        <w:tabs>
          <w:tab w:val="num" w:pos="2160"/>
        </w:tabs>
        <w:ind w:left="2160" w:hanging="360"/>
      </w:pPr>
      <w:rPr>
        <w:rFonts w:ascii="Arial" w:hAnsi="Arial" w:hint="default"/>
      </w:rPr>
    </w:lvl>
    <w:lvl w:ilvl="3" w:tplc="F976CB30" w:tentative="1">
      <w:start w:val="1"/>
      <w:numFmt w:val="bullet"/>
      <w:lvlText w:val="•"/>
      <w:lvlJc w:val="left"/>
      <w:pPr>
        <w:tabs>
          <w:tab w:val="num" w:pos="2880"/>
        </w:tabs>
        <w:ind w:left="2880" w:hanging="360"/>
      </w:pPr>
      <w:rPr>
        <w:rFonts w:ascii="Arial" w:hAnsi="Arial" w:hint="default"/>
      </w:rPr>
    </w:lvl>
    <w:lvl w:ilvl="4" w:tplc="90FCB0C8" w:tentative="1">
      <w:start w:val="1"/>
      <w:numFmt w:val="bullet"/>
      <w:lvlText w:val="•"/>
      <w:lvlJc w:val="left"/>
      <w:pPr>
        <w:tabs>
          <w:tab w:val="num" w:pos="3600"/>
        </w:tabs>
        <w:ind w:left="3600" w:hanging="360"/>
      </w:pPr>
      <w:rPr>
        <w:rFonts w:ascii="Arial" w:hAnsi="Arial" w:hint="default"/>
      </w:rPr>
    </w:lvl>
    <w:lvl w:ilvl="5" w:tplc="86D4E524" w:tentative="1">
      <w:start w:val="1"/>
      <w:numFmt w:val="bullet"/>
      <w:lvlText w:val="•"/>
      <w:lvlJc w:val="left"/>
      <w:pPr>
        <w:tabs>
          <w:tab w:val="num" w:pos="4320"/>
        </w:tabs>
        <w:ind w:left="4320" w:hanging="360"/>
      </w:pPr>
      <w:rPr>
        <w:rFonts w:ascii="Arial" w:hAnsi="Arial" w:hint="default"/>
      </w:rPr>
    </w:lvl>
    <w:lvl w:ilvl="6" w:tplc="54A6DB4A" w:tentative="1">
      <w:start w:val="1"/>
      <w:numFmt w:val="bullet"/>
      <w:lvlText w:val="•"/>
      <w:lvlJc w:val="left"/>
      <w:pPr>
        <w:tabs>
          <w:tab w:val="num" w:pos="5040"/>
        </w:tabs>
        <w:ind w:left="5040" w:hanging="360"/>
      </w:pPr>
      <w:rPr>
        <w:rFonts w:ascii="Arial" w:hAnsi="Arial" w:hint="default"/>
      </w:rPr>
    </w:lvl>
    <w:lvl w:ilvl="7" w:tplc="5FBAE600" w:tentative="1">
      <w:start w:val="1"/>
      <w:numFmt w:val="bullet"/>
      <w:lvlText w:val="•"/>
      <w:lvlJc w:val="left"/>
      <w:pPr>
        <w:tabs>
          <w:tab w:val="num" w:pos="5760"/>
        </w:tabs>
        <w:ind w:left="5760" w:hanging="360"/>
      </w:pPr>
      <w:rPr>
        <w:rFonts w:ascii="Arial" w:hAnsi="Arial" w:hint="default"/>
      </w:rPr>
    </w:lvl>
    <w:lvl w:ilvl="8" w:tplc="4D5C4E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A93085"/>
    <w:multiLevelType w:val="hybridMultilevel"/>
    <w:tmpl w:val="F1A28B50"/>
    <w:lvl w:ilvl="0" w:tplc="BE0087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B21F4"/>
    <w:multiLevelType w:val="hybridMultilevel"/>
    <w:tmpl w:val="AEEACEA6"/>
    <w:lvl w:ilvl="0" w:tplc="C240C464">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037112">
    <w:abstractNumId w:val="0"/>
  </w:num>
  <w:num w:numId="2" w16cid:durableId="748427708">
    <w:abstractNumId w:val="2"/>
  </w:num>
  <w:num w:numId="3" w16cid:durableId="110480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9B"/>
    <w:rsid w:val="00001082"/>
    <w:rsid w:val="0000495F"/>
    <w:rsid w:val="0001441F"/>
    <w:rsid w:val="00017132"/>
    <w:rsid w:val="00020E10"/>
    <w:rsid w:val="00024975"/>
    <w:rsid w:val="00027CF9"/>
    <w:rsid w:val="00047F8C"/>
    <w:rsid w:val="00050FAB"/>
    <w:rsid w:val="0006004B"/>
    <w:rsid w:val="000638BE"/>
    <w:rsid w:val="000704C1"/>
    <w:rsid w:val="00075897"/>
    <w:rsid w:val="00083C72"/>
    <w:rsid w:val="0009378D"/>
    <w:rsid w:val="00094CBB"/>
    <w:rsid w:val="000A0DB6"/>
    <w:rsid w:val="000A3F46"/>
    <w:rsid w:val="000A444D"/>
    <w:rsid w:val="000B4CB6"/>
    <w:rsid w:val="000D3E08"/>
    <w:rsid w:val="000E7CEC"/>
    <w:rsid w:val="000F3D6E"/>
    <w:rsid w:val="000F72ED"/>
    <w:rsid w:val="00105E64"/>
    <w:rsid w:val="00113B9F"/>
    <w:rsid w:val="00124123"/>
    <w:rsid w:val="00127AA7"/>
    <w:rsid w:val="00133EDD"/>
    <w:rsid w:val="0013579B"/>
    <w:rsid w:val="001510D8"/>
    <w:rsid w:val="0015154B"/>
    <w:rsid w:val="00162CCC"/>
    <w:rsid w:val="00164A36"/>
    <w:rsid w:val="001722B3"/>
    <w:rsid w:val="00186959"/>
    <w:rsid w:val="001A1A63"/>
    <w:rsid w:val="001A44C6"/>
    <w:rsid w:val="001B0703"/>
    <w:rsid w:val="001C5979"/>
    <w:rsid w:val="001E7B4E"/>
    <w:rsid w:val="001F072B"/>
    <w:rsid w:val="001F4DD7"/>
    <w:rsid w:val="00216C94"/>
    <w:rsid w:val="00217DA2"/>
    <w:rsid w:val="00226F3D"/>
    <w:rsid w:val="002524B7"/>
    <w:rsid w:val="00253F8C"/>
    <w:rsid w:val="0027320B"/>
    <w:rsid w:val="002768C4"/>
    <w:rsid w:val="0028179F"/>
    <w:rsid w:val="0028756F"/>
    <w:rsid w:val="00293B3C"/>
    <w:rsid w:val="002B0FE3"/>
    <w:rsid w:val="002C00F8"/>
    <w:rsid w:val="002C1146"/>
    <w:rsid w:val="002C14DB"/>
    <w:rsid w:val="002D0EA6"/>
    <w:rsid w:val="002E0DDA"/>
    <w:rsid w:val="002E1C8B"/>
    <w:rsid w:val="002E72D1"/>
    <w:rsid w:val="002F3CE4"/>
    <w:rsid w:val="002F7AC5"/>
    <w:rsid w:val="00305CE9"/>
    <w:rsid w:val="00321C4D"/>
    <w:rsid w:val="003234FA"/>
    <w:rsid w:val="00323B35"/>
    <w:rsid w:val="0033053F"/>
    <w:rsid w:val="003308AD"/>
    <w:rsid w:val="003309EF"/>
    <w:rsid w:val="0033740E"/>
    <w:rsid w:val="00365E0B"/>
    <w:rsid w:val="00366C20"/>
    <w:rsid w:val="00382818"/>
    <w:rsid w:val="003832EE"/>
    <w:rsid w:val="00383A48"/>
    <w:rsid w:val="00384837"/>
    <w:rsid w:val="003A59B1"/>
    <w:rsid w:val="003A7C84"/>
    <w:rsid w:val="003B009B"/>
    <w:rsid w:val="003B7878"/>
    <w:rsid w:val="003C5A4B"/>
    <w:rsid w:val="003C6DAF"/>
    <w:rsid w:val="003D1A89"/>
    <w:rsid w:val="003D306F"/>
    <w:rsid w:val="003E088C"/>
    <w:rsid w:val="00415D8A"/>
    <w:rsid w:val="00417629"/>
    <w:rsid w:val="0043459B"/>
    <w:rsid w:val="00435D09"/>
    <w:rsid w:val="00437291"/>
    <w:rsid w:val="00440930"/>
    <w:rsid w:val="00441BBC"/>
    <w:rsid w:val="00444510"/>
    <w:rsid w:val="0044459B"/>
    <w:rsid w:val="00447418"/>
    <w:rsid w:val="00450294"/>
    <w:rsid w:val="0047295D"/>
    <w:rsid w:val="00472C6F"/>
    <w:rsid w:val="00480F4C"/>
    <w:rsid w:val="004820E3"/>
    <w:rsid w:val="00485B71"/>
    <w:rsid w:val="004954D1"/>
    <w:rsid w:val="004A2595"/>
    <w:rsid w:val="004A499F"/>
    <w:rsid w:val="004D0E93"/>
    <w:rsid w:val="004D43C7"/>
    <w:rsid w:val="004E5646"/>
    <w:rsid w:val="0050026E"/>
    <w:rsid w:val="005041B3"/>
    <w:rsid w:val="00507A67"/>
    <w:rsid w:val="00540748"/>
    <w:rsid w:val="00541DF7"/>
    <w:rsid w:val="005500D0"/>
    <w:rsid w:val="00550DE6"/>
    <w:rsid w:val="005543B1"/>
    <w:rsid w:val="00555222"/>
    <w:rsid w:val="005745D7"/>
    <w:rsid w:val="00585F39"/>
    <w:rsid w:val="00587EA0"/>
    <w:rsid w:val="00595D75"/>
    <w:rsid w:val="005C03EB"/>
    <w:rsid w:val="005D3F89"/>
    <w:rsid w:val="005F0BB8"/>
    <w:rsid w:val="005F3E94"/>
    <w:rsid w:val="005F7276"/>
    <w:rsid w:val="00610227"/>
    <w:rsid w:val="00625BC9"/>
    <w:rsid w:val="00627050"/>
    <w:rsid w:val="0063512F"/>
    <w:rsid w:val="0064304B"/>
    <w:rsid w:val="00663A53"/>
    <w:rsid w:val="006752F5"/>
    <w:rsid w:val="0067794F"/>
    <w:rsid w:val="006837CF"/>
    <w:rsid w:val="00684394"/>
    <w:rsid w:val="00687C81"/>
    <w:rsid w:val="006A4E30"/>
    <w:rsid w:val="006B2F9B"/>
    <w:rsid w:val="006B49B8"/>
    <w:rsid w:val="006B62E8"/>
    <w:rsid w:val="006B6EB8"/>
    <w:rsid w:val="006C3052"/>
    <w:rsid w:val="006C5F8D"/>
    <w:rsid w:val="006D4F5A"/>
    <w:rsid w:val="006D5FCC"/>
    <w:rsid w:val="006E2CA0"/>
    <w:rsid w:val="006E5785"/>
    <w:rsid w:val="006E5B68"/>
    <w:rsid w:val="00716ACE"/>
    <w:rsid w:val="00716E33"/>
    <w:rsid w:val="00717646"/>
    <w:rsid w:val="0072234B"/>
    <w:rsid w:val="00740401"/>
    <w:rsid w:val="00741FA0"/>
    <w:rsid w:val="00742DD6"/>
    <w:rsid w:val="00750482"/>
    <w:rsid w:val="007525DF"/>
    <w:rsid w:val="007543BB"/>
    <w:rsid w:val="00772E34"/>
    <w:rsid w:val="007731D5"/>
    <w:rsid w:val="00777A22"/>
    <w:rsid w:val="0079360F"/>
    <w:rsid w:val="007B4CD0"/>
    <w:rsid w:val="007B5E7D"/>
    <w:rsid w:val="007C4D22"/>
    <w:rsid w:val="007C7029"/>
    <w:rsid w:val="007D16A4"/>
    <w:rsid w:val="007D1C4C"/>
    <w:rsid w:val="007E2E67"/>
    <w:rsid w:val="007E3D73"/>
    <w:rsid w:val="00831FC5"/>
    <w:rsid w:val="00833230"/>
    <w:rsid w:val="0083511D"/>
    <w:rsid w:val="0083536C"/>
    <w:rsid w:val="00846776"/>
    <w:rsid w:val="008471DF"/>
    <w:rsid w:val="00854837"/>
    <w:rsid w:val="00856D81"/>
    <w:rsid w:val="0086359C"/>
    <w:rsid w:val="00863EF3"/>
    <w:rsid w:val="0086595E"/>
    <w:rsid w:val="00874A77"/>
    <w:rsid w:val="008752F2"/>
    <w:rsid w:val="0088227B"/>
    <w:rsid w:val="00890026"/>
    <w:rsid w:val="008A079E"/>
    <w:rsid w:val="008A4ACF"/>
    <w:rsid w:val="008B1F30"/>
    <w:rsid w:val="008B75F3"/>
    <w:rsid w:val="008C71F7"/>
    <w:rsid w:val="008D19A9"/>
    <w:rsid w:val="008D253D"/>
    <w:rsid w:val="008E0637"/>
    <w:rsid w:val="008E3002"/>
    <w:rsid w:val="008E384C"/>
    <w:rsid w:val="008F148C"/>
    <w:rsid w:val="009060BF"/>
    <w:rsid w:val="00911CCC"/>
    <w:rsid w:val="00926F27"/>
    <w:rsid w:val="00937086"/>
    <w:rsid w:val="00937DF1"/>
    <w:rsid w:val="009448D0"/>
    <w:rsid w:val="009522E6"/>
    <w:rsid w:val="0097267A"/>
    <w:rsid w:val="0099190C"/>
    <w:rsid w:val="00992A16"/>
    <w:rsid w:val="009A4995"/>
    <w:rsid w:val="009A4D03"/>
    <w:rsid w:val="009A674A"/>
    <w:rsid w:val="009B73EA"/>
    <w:rsid w:val="009C2870"/>
    <w:rsid w:val="009D182F"/>
    <w:rsid w:val="009E34AF"/>
    <w:rsid w:val="009E696F"/>
    <w:rsid w:val="009F7FFB"/>
    <w:rsid w:val="00A104D4"/>
    <w:rsid w:val="00A23FC7"/>
    <w:rsid w:val="00A24229"/>
    <w:rsid w:val="00A32342"/>
    <w:rsid w:val="00A34858"/>
    <w:rsid w:val="00A42705"/>
    <w:rsid w:val="00A54ECD"/>
    <w:rsid w:val="00A568A8"/>
    <w:rsid w:val="00A6623E"/>
    <w:rsid w:val="00A715F6"/>
    <w:rsid w:val="00A75991"/>
    <w:rsid w:val="00A8275F"/>
    <w:rsid w:val="00A853A8"/>
    <w:rsid w:val="00A85C58"/>
    <w:rsid w:val="00A91514"/>
    <w:rsid w:val="00AA21EE"/>
    <w:rsid w:val="00AB139F"/>
    <w:rsid w:val="00AC278F"/>
    <w:rsid w:val="00AC5B55"/>
    <w:rsid w:val="00AC6482"/>
    <w:rsid w:val="00AC7FE0"/>
    <w:rsid w:val="00AD2DF3"/>
    <w:rsid w:val="00AD6D56"/>
    <w:rsid w:val="00AF3B6F"/>
    <w:rsid w:val="00AF4566"/>
    <w:rsid w:val="00B147E2"/>
    <w:rsid w:val="00B16650"/>
    <w:rsid w:val="00B16EE0"/>
    <w:rsid w:val="00B23BAA"/>
    <w:rsid w:val="00B329E9"/>
    <w:rsid w:val="00B34409"/>
    <w:rsid w:val="00B34421"/>
    <w:rsid w:val="00B347DA"/>
    <w:rsid w:val="00B41E5B"/>
    <w:rsid w:val="00B44892"/>
    <w:rsid w:val="00B44A8C"/>
    <w:rsid w:val="00B47C49"/>
    <w:rsid w:val="00B63D95"/>
    <w:rsid w:val="00B70525"/>
    <w:rsid w:val="00B73F8D"/>
    <w:rsid w:val="00B81D9C"/>
    <w:rsid w:val="00B833E5"/>
    <w:rsid w:val="00B843FA"/>
    <w:rsid w:val="00B90634"/>
    <w:rsid w:val="00B93D13"/>
    <w:rsid w:val="00BA50FA"/>
    <w:rsid w:val="00BA592A"/>
    <w:rsid w:val="00BC7AC5"/>
    <w:rsid w:val="00BE34EE"/>
    <w:rsid w:val="00BE44E4"/>
    <w:rsid w:val="00C26EAE"/>
    <w:rsid w:val="00C3146D"/>
    <w:rsid w:val="00C37A80"/>
    <w:rsid w:val="00C37A9B"/>
    <w:rsid w:val="00C40C4C"/>
    <w:rsid w:val="00C452C7"/>
    <w:rsid w:val="00C456E4"/>
    <w:rsid w:val="00C50912"/>
    <w:rsid w:val="00C521E3"/>
    <w:rsid w:val="00C53204"/>
    <w:rsid w:val="00C67A14"/>
    <w:rsid w:val="00C711B9"/>
    <w:rsid w:val="00C76554"/>
    <w:rsid w:val="00C814C5"/>
    <w:rsid w:val="00C85306"/>
    <w:rsid w:val="00C93D11"/>
    <w:rsid w:val="00C95E8E"/>
    <w:rsid w:val="00CA39F9"/>
    <w:rsid w:val="00CB690C"/>
    <w:rsid w:val="00CC7132"/>
    <w:rsid w:val="00CC788D"/>
    <w:rsid w:val="00CC7C86"/>
    <w:rsid w:val="00CD396F"/>
    <w:rsid w:val="00CD4E7A"/>
    <w:rsid w:val="00CE14C7"/>
    <w:rsid w:val="00CE470C"/>
    <w:rsid w:val="00CE5840"/>
    <w:rsid w:val="00CF1859"/>
    <w:rsid w:val="00D00E44"/>
    <w:rsid w:val="00D16EF7"/>
    <w:rsid w:val="00D17469"/>
    <w:rsid w:val="00D20E2C"/>
    <w:rsid w:val="00D25D5C"/>
    <w:rsid w:val="00D35D4D"/>
    <w:rsid w:val="00D44B30"/>
    <w:rsid w:val="00D52310"/>
    <w:rsid w:val="00D7022E"/>
    <w:rsid w:val="00D902A6"/>
    <w:rsid w:val="00DA116D"/>
    <w:rsid w:val="00DA65DE"/>
    <w:rsid w:val="00DB17DC"/>
    <w:rsid w:val="00DB4347"/>
    <w:rsid w:val="00DD56E9"/>
    <w:rsid w:val="00DE3561"/>
    <w:rsid w:val="00DE40CB"/>
    <w:rsid w:val="00E045E4"/>
    <w:rsid w:val="00E06605"/>
    <w:rsid w:val="00E258F4"/>
    <w:rsid w:val="00E34273"/>
    <w:rsid w:val="00E557A8"/>
    <w:rsid w:val="00E603EB"/>
    <w:rsid w:val="00E62E28"/>
    <w:rsid w:val="00E72252"/>
    <w:rsid w:val="00E83690"/>
    <w:rsid w:val="00E97835"/>
    <w:rsid w:val="00EB09FF"/>
    <w:rsid w:val="00EB2C18"/>
    <w:rsid w:val="00EB3711"/>
    <w:rsid w:val="00ED692C"/>
    <w:rsid w:val="00EF2576"/>
    <w:rsid w:val="00EF29DF"/>
    <w:rsid w:val="00F11047"/>
    <w:rsid w:val="00F15E06"/>
    <w:rsid w:val="00F26583"/>
    <w:rsid w:val="00F37C20"/>
    <w:rsid w:val="00F446A3"/>
    <w:rsid w:val="00F44770"/>
    <w:rsid w:val="00F5599E"/>
    <w:rsid w:val="00F5632C"/>
    <w:rsid w:val="00F5633B"/>
    <w:rsid w:val="00F82530"/>
    <w:rsid w:val="00F83534"/>
    <w:rsid w:val="00F870AE"/>
    <w:rsid w:val="00F90BC7"/>
    <w:rsid w:val="00F930CB"/>
    <w:rsid w:val="00F937AD"/>
    <w:rsid w:val="00F94A57"/>
    <w:rsid w:val="00FA0445"/>
    <w:rsid w:val="00FA3625"/>
    <w:rsid w:val="00FB2BD6"/>
    <w:rsid w:val="00FB3BEC"/>
    <w:rsid w:val="00FC4D62"/>
    <w:rsid w:val="00FD27D3"/>
    <w:rsid w:val="00FD5BD7"/>
    <w:rsid w:val="00FE0A29"/>
    <w:rsid w:val="00FE2E12"/>
    <w:rsid w:val="00FE6ABA"/>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B07B"/>
  <w15:chartTrackingRefBased/>
  <w15:docId w15:val="{A0EEAD06-2A70-4FAA-A794-4F11FBA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9B"/>
    <w:pPr>
      <w:ind w:left="720"/>
      <w:contextualSpacing/>
    </w:pPr>
  </w:style>
  <w:style w:type="character" w:styleId="Hyperlink">
    <w:name w:val="Hyperlink"/>
    <w:basedOn w:val="DefaultParagraphFont"/>
    <w:uiPriority w:val="99"/>
    <w:unhideWhenUsed/>
    <w:rsid w:val="008F148C"/>
    <w:rPr>
      <w:color w:val="0000FF"/>
      <w:u w:val="single"/>
    </w:rPr>
  </w:style>
  <w:style w:type="character" w:styleId="Emphasis">
    <w:name w:val="Emphasis"/>
    <w:basedOn w:val="DefaultParagraphFont"/>
    <w:uiPriority w:val="20"/>
    <w:qFormat/>
    <w:rsid w:val="00024975"/>
    <w:rPr>
      <w:i/>
      <w:iCs/>
    </w:rPr>
  </w:style>
  <w:style w:type="paragraph" w:styleId="Header">
    <w:name w:val="header"/>
    <w:basedOn w:val="Normal"/>
    <w:link w:val="HeaderChar"/>
    <w:uiPriority w:val="99"/>
    <w:unhideWhenUsed/>
    <w:rsid w:val="00FA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25"/>
  </w:style>
  <w:style w:type="paragraph" w:styleId="Footer">
    <w:name w:val="footer"/>
    <w:basedOn w:val="Normal"/>
    <w:link w:val="FooterChar"/>
    <w:uiPriority w:val="99"/>
    <w:unhideWhenUsed/>
    <w:rsid w:val="00FA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25"/>
  </w:style>
  <w:style w:type="character" w:styleId="UnresolvedMention">
    <w:name w:val="Unresolved Mention"/>
    <w:basedOn w:val="DefaultParagraphFont"/>
    <w:uiPriority w:val="99"/>
    <w:semiHidden/>
    <w:unhideWhenUsed/>
    <w:rsid w:val="00EF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75474">
      <w:bodyDiv w:val="1"/>
      <w:marLeft w:val="0"/>
      <w:marRight w:val="0"/>
      <w:marTop w:val="0"/>
      <w:marBottom w:val="0"/>
      <w:divBdr>
        <w:top w:val="none" w:sz="0" w:space="0" w:color="auto"/>
        <w:left w:val="none" w:sz="0" w:space="0" w:color="auto"/>
        <w:bottom w:val="none" w:sz="0" w:space="0" w:color="auto"/>
        <w:right w:val="none" w:sz="0" w:space="0" w:color="auto"/>
      </w:divBdr>
    </w:div>
    <w:div w:id="525561179">
      <w:bodyDiv w:val="1"/>
      <w:marLeft w:val="0"/>
      <w:marRight w:val="0"/>
      <w:marTop w:val="0"/>
      <w:marBottom w:val="0"/>
      <w:divBdr>
        <w:top w:val="none" w:sz="0" w:space="0" w:color="auto"/>
        <w:left w:val="none" w:sz="0" w:space="0" w:color="auto"/>
        <w:bottom w:val="none" w:sz="0" w:space="0" w:color="auto"/>
        <w:right w:val="none" w:sz="0" w:space="0" w:color="auto"/>
      </w:divBdr>
    </w:div>
    <w:div w:id="643388251">
      <w:bodyDiv w:val="1"/>
      <w:marLeft w:val="0"/>
      <w:marRight w:val="0"/>
      <w:marTop w:val="0"/>
      <w:marBottom w:val="0"/>
      <w:divBdr>
        <w:top w:val="none" w:sz="0" w:space="0" w:color="auto"/>
        <w:left w:val="none" w:sz="0" w:space="0" w:color="auto"/>
        <w:bottom w:val="none" w:sz="0" w:space="0" w:color="auto"/>
        <w:right w:val="none" w:sz="0" w:space="0" w:color="auto"/>
      </w:divBdr>
    </w:div>
    <w:div w:id="856888898">
      <w:bodyDiv w:val="1"/>
      <w:marLeft w:val="0"/>
      <w:marRight w:val="0"/>
      <w:marTop w:val="0"/>
      <w:marBottom w:val="0"/>
      <w:divBdr>
        <w:top w:val="none" w:sz="0" w:space="0" w:color="auto"/>
        <w:left w:val="none" w:sz="0" w:space="0" w:color="auto"/>
        <w:bottom w:val="none" w:sz="0" w:space="0" w:color="auto"/>
        <w:right w:val="none" w:sz="0" w:space="0" w:color="auto"/>
      </w:divBdr>
    </w:div>
    <w:div w:id="946933335">
      <w:bodyDiv w:val="1"/>
      <w:marLeft w:val="0"/>
      <w:marRight w:val="0"/>
      <w:marTop w:val="0"/>
      <w:marBottom w:val="0"/>
      <w:divBdr>
        <w:top w:val="none" w:sz="0" w:space="0" w:color="auto"/>
        <w:left w:val="none" w:sz="0" w:space="0" w:color="auto"/>
        <w:bottom w:val="none" w:sz="0" w:space="0" w:color="auto"/>
        <w:right w:val="none" w:sz="0" w:space="0" w:color="auto"/>
      </w:divBdr>
      <w:divsChild>
        <w:div w:id="684478909">
          <w:marLeft w:val="360"/>
          <w:marRight w:val="0"/>
          <w:marTop w:val="200"/>
          <w:marBottom w:val="0"/>
          <w:divBdr>
            <w:top w:val="none" w:sz="0" w:space="0" w:color="auto"/>
            <w:left w:val="none" w:sz="0" w:space="0" w:color="auto"/>
            <w:bottom w:val="none" w:sz="0" w:space="0" w:color="auto"/>
            <w:right w:val="none" w:sz="0" w:space="0" w:color="auto"/>
          </w:divBdr>
        </w:div>
        <w:div w:id="1130199001">
          <w:marLeft w:val="360"/>
          <w:marRight w:val="0"/>
          <w:marTop w:val="200"/>
          <w:marBottom w:val="0"/>
          <w:divBdr>
            <w:top w:val="none" w:sz="0" w:space="0" w:color="auto"/>
            <w:left w:val="none" w:sz="0" w:space="0" w:color="auto"/>
            <w:bottom w:val="none" w:sz="0" w:space="0" w:color="auto"/>
            <w:right w:val="none" w:sz="0" w:space="0" w:color="auto"/>
          </w:divBdr>
        </w:div>
        <w:div w:id="1297757476">
          <w:marLeft w:val="360"/>
          <w:marRight w:val="0"/>
          <w:marTop w:val="200"/>
          <w:marBottom w:val="0"/>
          <w:divBdr>
            <w:top w:val="none" w:sz="0" w:space="0" w:color="auto"/>
            <w:left w:val="none" w:sz="0" w:space="0" w:color="auto"/>
            <w:bottom w:val="none" w:sz="0" w:space="0" w:color="auto"/>
            <w:right w:val="none" w:sz="0" w:space="0" w:color="auto"/>
          </w:divBdr>
        </w:div>
        <w:div w:id="151530454">
          <w:marLeft w:val="1080"/>
          <w:marRight w:val="0"/>
          <w:marTop w:val="100"/>
          <w:marBottom w:val="0"/>
          <w:divBdr>
            <w:top w:val="none" w:sz="0" w:space="0" w:color="auto"/>
            <w:left w:val="none" w:sz="0" w:space="0" w:color="auto"/>
            <w:bottom w:val="none" w:sz="0" w:space="0" w:color="auto"/>
            <w:right w:val="none" w:sz="0" w:space="0" w:color="auto"/>
          </w:divBdr>
        </w:div>
        <w:div w:id="211354834">
          <w:marLeft w:val="1080"/>
          <w:marRight w:val="0"/>
          <w:marTop w:val="100"/>
          <w:marBottom w:val="0"/>
          <w:divBdr>
            <w:top w:val="none" w:sz="0" w:space="0" w:color="auto"/>
            <w:left w:val="none" w:sz="0" w:space="0" w:color="auto"/>
            <w:bottom w:val="none" w:sz="0" w:space="0" w:color="auto"/>
            <w:right w:val="none" w:sz="0" w:space="0" w:color="auto"/>
          </w:divBdr>
        </w:div>
        <w:div w:id="550121549">
          <w:marLeft w:val="1080"/>
          <w:marRight w:val="0"/>
          <w:marTop w:val="100"/>
          <w:marBottom w:val="0"/>
          <w:divBdr>
            <w:top w:val="none" w:sz="0" w:space="0" w:color="auto"/>
            <w:left w:val="none" w:sz="0" w:space="0" w:color="auto"/>
            <w:bottom w:val="none" w:sz="0" w:space="0" w:color="auto"/>
            <w:right w:val="none" w:sz="0" w:space="0" w:color="auto"/>
          </w:divBdr>
        </w:div>
        <w:div w:id="976684823">
          <w:marLeft w:val="1080"/>
          <w:marRight w:val="0"/>
          <w:marTop w:val="100"/>
          <w:marBottom w:val="0"/>
          <w:divBdr>
            <w:top w:val="none" w:sz="0" w:space="0" w:color="auto"/>
            <w:left w:val="none" w:sz="0" w:space="0" w:color="auto"/>
            <w:bottom w:val="none" w:sz="0" w:space="0" w:color="auto"/>
            <w:right w:val="none" w:sz="0" w:space="0" w:color="auto"/>
          </w:divBdr>
        </w:div>
        <w:div w:id="1410076343">
          <w:marLeft w:val="1080"/>
          <w:marRight w:val="0"/>
          <w:marTop w:val="100"/>
          <w:marBottom w:val="0"/>
          <w:divBdr>
            <w:top w:val="none" w:sz="0" w:space="0" w:color="auto"/>
            <w:left w:val="none" w:sz="0" w:space="0" w:color="auto"/>
            <w:bottom w:val="none" w:sz="0" w:space="0" w:color="auto"/>
            <w:right w:val="none" w:sz="0" w:space="0" w:color="auto"/>
          </w:divBdr>
        </w:div>
        <w:div w:id="2034309076">
          <w:marLeft w:val="1080"/>
          <w:marRight w:val="0"/>
          <w:marTop w:val="100"/>
          <w:marBottom w:val="0"/>
          <w:divBdr>
            <w:top w:val="none" w:sz="0" w:space="0" w:color="auto"/>
            <w:left w:val="none" w:sz="0" w:space="0" w:color="auto"/>
            <w:bottom w:val="none" w:sz="0" w:space="0" w:color="auto"/>
            <w:right w:val="none" w:sz="0" w:space="0" w:color="auto"/>
          </w:divBdr>
        </w:div>
        <w:div w:id="1246652339">
          <w:marLeft w:val="1080"/>
          <w:marRight w:val="0"/>
          <w:marTop w:val="100"/>
          <w:marBottom w:val="0"/>
          <w:divBdr>
            <w:top w:val="none" w:sz="0" w:space="0" w:color="auto"/>
            <w:left w:val="none" w:sz="0" w:space="0" w:color="auto"/>
            <w:bottom w:val="none" w:sz="0" w:space="0" w:color="auto"/>
            <w:right w:val="none" w:sz="0" w:space="0" w:color="auto"/>
          </w:divBdr>
        </w:div>
        <w:div w:id="1240091494">
          <w:marLeft w:val="1080"/>
          <w:marRight w:val="0"/>
          <w:marTop w:val="100"/>
          <w:marBottom w:val="0"/>
          <w:divBdr>
            <w:top w:val="none" w:sz="0" w:space="0" w:color="auto"/>
            <w:left w:val="none" w:sz="0" w:space="0" w:color="auto"/>
            <w:bottom w:val="none" w:sz="0" w:space="0" w:color="auto"/>
            <w:right w:val="none" w:sz="0" w:space="0" w:color="auto"/>
          </w:divBdr>
        </w:div>
        <w:div w:id="1148933427">
          <w:marLeft w:val="1080"/>
          <w:marRight w:val="0"/>
          <w:marTop w:val="100"/>
          <w:marBottom w:val="0"/>
          <w:divBdr>
            <w:top w:val="none" w:sz="0" w:space="0" w:color="auto"/>
            <w:left w:val="none" w:sz="0" w:space="0" w:color="auto"/>
            <w:bottom w:val="none" w:sz="0" w:space="0" w:color="auto"/>
            <w:right w:val="none" w:sz="0" w:space="0" w:color="auto"/>
          </w:divBdr>
        </w:div>
        <w:div w:id="727149913">
          <w:marLeft w:val="1080"/>
          <w:marRight w:val="0"/>
          <w:marTop w:val="100"/>
          <w:marBottom w:val="0"/>
          <w:divBdr>
            <w:top w:val="none" w:sz="0" w:space="0" w:color="auto"/>
            <w:left w:val="none" w:sz="0" w:space="0" w:color="auto"/>
            <w:bottom w:val="none" w:sz="0" w:space="0" w:color="auto"/>
            <w:right w:val="none" w:sz="0" w:space="0" w:color="auto"/>
          </w:divBdr>
        </w:div>
        <w:div w:id="1586912591">
          <w:marLeft w:val="1080"/>
          <w:marRight w:val="0"/>
          <w:marTop w:val="100"/>
          <w:marBottom w:val="0"/>
          <w:divBdr>
            <w:top w:val="none" w:sz="0" w:space="0" w:color="auto"/>
            <w:left w:val="none" w:sz="0" w:space="0" w:color="auto"/>
            <w:bottom w:val="none" w:sz="0" w:space="0" w:color="auto"/>
            <w:right w:val="none" w:sz="0" w:space="0" w:color="auto"/>
          </w:divBdr>
        </w:div>
        <w:div w:id="1238124694">
          <w:marLeft w:val="1080"/>
          <w:marRight w:val="0"/>
          <w:marTop w:val="100"/>
          <w:marBottom w:val="0"/>
          <w:divBdr>
            <w:top w:val="none" w:sz="0" w:space="0" w:color="auto"/>
            <w:left w:val="none" w:sz="0" w:space="0" w:color="auto"/>
            <w:bottom w:val="none" w:sz="0" w:space="0" w:color="auto"/>
            <w:right w:val="none" w:sz="0" w:space="0" w:color="auto"/>
          </w:divBdr>
        </w:div>
      </w:divsChild>
    </w:div>
    <w:div w:id="13086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s.hawaii.gov/p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s.hawaii.gov/state-of-hawaii-it-portfolio-mana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s.hawaii.gov/wp-content/uploads/2019/05/ETS-Strategic-Plan-website-4.25.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s.hawaii.gov/it-governan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udget.hawaii.gov/wp-content/uploads/2018/10/AD-18-03-Program-Governance-and-Independent-Verification-and-Validation-Requirements-for-Enterprise-IT-Projects.pdf" TargetMode="External"/><Relationship Id="rId14" Type="http://schemas.openxmlformats.org/officeDocument/2006/relationships/hyperlink" Target="https://ag.hawaii.gov/wp-content/uploads/2023/04/Notice-to-Attorneys-Interested-in-Providing-Legal-Services-FY2023-20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5FA8-393F-488F-9554-22088B1C7B30}">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4165</TotalTime>
  <Pages>7</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Doug</dc:creator>
  <cp:keywords/>
  <dc:description/>
  <cp:lastModifiedBy>Murdock, Doug</cp:lastModifiedBy>
  <cp:revision>353</cp:revision>
  <dcterms:created xsi:type="dcterms:W3CDTF">2023-11-08T23:40:00Z</dcterms:created>
  <dcterms:modified xsi:type="dcterms:W3CDTF">2024-04-24T02:23:00Z</dcterms:modified>
</cp:coreProperties>
</file>