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7E23B" w14:textId="77777777" w:rsidR="00302C03" w:rsidRDefault="43045F28" w:rsidP="00302C03">
      <w:pPr>
        <w:jc w:val="center"/>
      </w:pPr>
      <w:bookmarkStart w:id="0" w:name="_GoBack"/>
      <w:bookmarkEnd w:id="0"/>
      <w:r w:rsidRPr="43045F28">
        <w:rPr>
          <w:rFonts w:eastAsiaTheme="minorEastAsia"/>
          <w:color w:val="000000" w:themeColor="text1"/>
        </w:rPr>
        <w:t>STATE OF HAWAII</w:t>
      </w:r>
    </w:p>
    <w:p w14:paraId="311EFCF4" w14:textId="77777777" w:rsidR="00302C03" w:rsidRDefault="43045F28" w:rsidP="00302C03">
      <w:pPr>
        <w:jc w:val="center"/>
      </w:pPr>
      <w:r w:rsidRPr="43045F28">
        <w:rPr>
          <w:rFonts w:eastAsiaTheme="minorEastAsia"/>
          <w:color w:val="000000" w:themeColor="text1"/>
        </w:rPr>
        <w:t>DEPARTMENT OF ACCOUNTING AND GENERAL SERVICES</w:t>
      </w:r>
    </w:p>
    <w:p w14:paraId="3BD079C4" w14:textId="77777777" w:rsidR="00302C03" w:rsidRDefault="43045F28" w:rsidP="00302C03">
      <w:pPr>
        <w:jc w:val="center"/>
      </w:pPr>
      <w:r w:rsidRPr="43045F28">
        <w:rPr>
          <w:rFonts w:eastAsiaTheme="minorEastAsia"/>
          <w:color w:val="000000" w:themeColor="text1"/>
        </w:rPr>
        <w:t>HONOLULU, HAWAII</w:t>
      </w:r>
    </w:p>
    <w:p w14:paraId="16695276" w14:textId="172DFE33" w:rsidR="00302C03" w:rsidRDefault="43045F28" w:rsidP="00302C03">
      <w:pPr>
        <w:jc w:val="center"/>
      </w:pPr>
      <w:r w:rsidRPr="43045F28">
        <w:rPr>
          <w:rFonts w:eastAsiaTheme="minorEastAsia"/>
          <w:color w:val="000000" w:themeColor="text1"/>
        </w:rPr>
        <w:t>March 29, 2016</w:t>
      </w:r>
    </w:p>
    <w:p w14:paraId="6DACB3AE" w14:textId="61080CF3" w:rsidR="00302C03" w:rsidRDefault="43045F28" w:rsidP="00302C03">
      <w:pPr>
        <w:jc w:val="center"/>
      </w:pPr>
      <w:r w:rsidRPr="43045F28">
        <w:rPr>
          <w:rFonts w:eastAsiaTheme="minorEastAsia"/>
          <w:color w:val="000000" w:themeColor="text1"/>
        </w:rPr>
        <w:t>ADDENDUM 5</w:t>
      </w:r>
    </w:p>
    <w:p w14:paraId="2FC7EF5B" w14:textId="65824FDA" w:rsidR="00302C03" w:rsidRDefault="43045F28" w:rsidP="00302C03">
      <w:pPr>
        <w:jc w:val="center"/>
      </w:pPr>
      <w:r w:rsidRPr="43045F28">
        <w:rPr>
          <w:rFonts w:eastAsiaTheme="minorEastAsia"/>
          <w:color w:val="000000" w:themeColor="text1"/>
        </w:rPr>
        <w:t>TO</w:t>
      </w:r>
    </w:p>
    <w:p w14:paraId="7482A1F3" w14:textId="77777777" w:rsidR="00302C03" w:rsidRDefault="43045F28" w:rsidP="00302C03">
      <w:pPr>
        <w:jc w:val="center"/>
      </w:pPr>
      <w:r w:rsidRPr="43045F28">
        <w:rPr>
          <w:rFonts w:eastAsiaTheme="minorEastAsia"/>
          <w:color w:val="000000" w:themeColor="text1"/>
        </w:rPr>
        <w:t>REQUEST FOR PROPOSALS</w:t>
      </w:r>
    </w:p>
    <w:p w14:paraId="39890B9B" w14:textId="77777777" w:rsidR="00302C03" w:rsidRDefault="43045F28" w:rsidP="00302C03">
      <w:pPr>
        <w:jc w:val="center"/>
      </w:pPr>
      <w:r w:rsidRPr="43045F28">
        <w:rPr>
          <w:rFonts w:eastAsiaTheme="minorEastAsia"/>
          <w:color w:val="000000" w:themeColor="text1"/>
        </w:rPr>
        <w:t>NO. RFP-ERP16001</w:t>
      </w:r>
    </w:p>
    <w:p w14:paraId="2ED9B0CB" w14:textId="77777777" w:rsidR="00302C03" w:rsidRDefault="43045F28" w:rsidP="00302C03">
      <w:pPr>
        <w:jc w:val="center"/>
      </w:pPr>
      <w:r w:rsidRPr="43045F28">
        <w:rPr>
          <w:rFonts w:eastAsiaTheme="minorEastAsia"/>
          <w:color w:val="000000" w:themeColor="text1"/>
        </w:rPr>
        <w:t>ENTERPRISE PAYROLL AND TIME AND ATTENDANCE SOLUTION (EPS) SOLUTION FOR THE STATE OF HAWAII</w:t>
      </w:r>
    </w:p>
    <w:p w14:paraId="3FE3A9B3" w14:textId="77777777" w:rsidR="00302C03" w:rsidRDefault="00302C03" w:rsidP="00302C03"/>
    <w:p w14:paraId="6D07B717" w14:textId="77777777" w:rsidR="005F7788" w:rsidRDefault="43045F28" w:rsidP="00302C03">
      <w:r w:rsidRPr="43045F28">
        <w:rPr>
          <w:rFonts w:eastAsiaTheme="minorEastAsia"/>
          <w:color w:val="000000" w:themeColor="text1"/>
        </w:rPr>
        <w:t>The following changes are made to the RFP:</w:t>
      </w:r>
    </w:p>
    <w:p w14:paraId="56463F37" w14:textId="69FD2E31" w:rsidR="4E3A3C3E" w:rsidRDefault="43045F28" w:rsidP="43045F28">
      <w:pPr>
        <w:pStyle w:val="ListParagraph"/>
        <w:numPr>
          <w:ilvl w:val="0"/>
          <w:numId w:val="3"/>
        </w:numPr>
        <w:rPr>
          <w:rFonts w:eastAsiaTheme="minorEastAsia"/>
          <w:color w:val="000000" w:themeColor="text1"/>
        </w:rPr>
      </w:pPr>
      <w:r w:rsidRPr="43045F28">
        <w:rPr>
          <w:rFonts w:eastAsiaTheme="minorEastAsia"/>
          <w:color w:val="000000" w:themeColor="text1"/>
        </w:rPr>
        <w:t>Section 18.3.5 has been added to the Main RFP document and reads as follows, (see next page):</w:t>
      </w:r>
    </w:p>
    <w:p w14:paraId="186D6994" w14:textId="32043000" w:rsidR="4E3A3C3E" w:rsidRDefault="43045F28" w:rsidP="43045F28">
      <w:pPr>
        <w:pStyle w:val="Heading3"/>
        <w:ind w:left="720"/>
      </w:pPr>
      <w:r w:rsidRPr="43045F28">
        <w:rPr>
          <w:rFonts w:asciiTheme="minorHAnsi" w:eastAsiaTheme="minorEastAsia" w:hAnsiTheme="minorHAnsi" w:cstheme="minorBidi"/>
          <w:b/>
          <w:bCs/>
          <w:color w:val="000000" w:themeColor="text1"/>
          <w:sz w:val="22"/>
          <w:szCs w:val="22"/>
        </w:rPr>
        <w:t>18.3.5</w:t>
      </w:r>
      <w:r w:rsidRPr="43045F28">
        <w:rPr>
          <w:rFonts w:asciiTheme="minorHAnsi" w:eastAsiaTheme="minorEastAsia" w:hAnsiTheme="minorHAnsi" w:cstheme="minorBidi"/>
          <w:color w:val="000000" w:themeColor="text1"/>
          <w:sz w:val="22"/>
          <w:szCs w:val="22"/>
        </w:rPr>
        <w:t xml:space="preserve">  </w:t>
      </w:r>
      <w:r w:rsidR="00544F5B">
        <w:rPr>
          <w:rFonts w:asciiTheme="minorHAnsi" w:eastAsiaTheme="minorEastAsia" w:hAnsiTheme="minorHAnsi" w:cstheme="minorBidi"/>
          <w:color w:val="000000" w:themeColor="text1"/>
          <w:sz w:val="22"/>
          <w:szCs w:val="22"/>
        </w:rPr>
        <w:t>Offero</w:t>
      </w:r>
      <w:r w:rsidRPr="43045F28">
        <w:rPr>
          <w:rFonts w:asciiTheme="minorHAnsi" w:eastAsiaTheme="minorEastAsia" w:hAnsiTheme="minorHAnsi" w:cstheme="minorBidi"/>
          <w:color w:val="000000" w:themeColor="text1"/>
          <w:sz w:val="22"/>
          <w:szCs w:val="22"/>
        </w:rPr>
        <w:t xml:space="preserve">r Compliance - Paper Documents.  </w:t>
      </w:r>
      <w:r w:rsidR="00B6337D">
        <w:rPr>
          <w:rFonts w:asciiTheme="minorHAnsi" w:eastAsiaTheme="minorEastAsia" w:hAnsiTheme="minorHAnsi" w:cstheme="minorBidi"/>
          <w:color w:val="000000" w:themeColor="text1"/>
          <w:sz w:val="22"/>
          <w:szCs w:val="22"/>
        </w:rPr>
        <w:t>Offerors</w:t>
      </w:r>
      <w:r w:rsidRPr="43045F28">
        <w:rPr>
          <w:rFonts w:asciiTheme="minorHAnsi" w:eastAsiaTheme="minorEastAsia" w:hAnsiTheme="minorHAnsi" w:cstheme="minorBidi"/>
          <w:color w:val="000000" w:themeColor="text1"/>
          <w:sz w:val="22"/>
          <w:szCs w:val="22"/>
        </w:rPr>
        <w:t xml:space="preserve"> not utilizing the HCE to demonstrate compliance shall provide the paper certificates to the State POC as instructed below.  All certificates must be valid on the date it is received by the State POC. Timely applications for all applicable clearances are the responsibility of the Bidder.</w:t>
      </w:r>
    </w:p>
    <w:p w14:paraId="4923E2F6" w14:textId="7569E31A" w:rsidR="4E3A3C3E" w:rsidRDefault="43045F28" w:rsidP="4E3A3C3E">
      <w:pPr>
        <w:pStyle w:val="Heading3"/>
        <w:ind w:left="720"/>
      </w:pPr>
      <w:r w:rsidRPr="43045F28">
        <w:rPr>
          <w:rFonts w:asciiTheme="minorHAnsi" w:eastAsiaTheme="minorEastAsia" w:hAnsiTheme="minorHAnsi" w:cstheme="minorBidi"/>
          <w:color w:val="000000" w:themeColor="text1"/>
          <w:sz w:val="22"/>
          <w:szCs w:val="22"/>
        </w:rPr>
        <w:t xml:space="preserve">18.3.5.1  HRS Chapter 237 tax clearance requirement for award. Pursuant to Section 103D-328, HRS, the lowest responsive Bidder shall be required to submit a tax clearance certificate issued by the Hawaii State Department of Taxation (DOTAX) and the Internal Revenue Service (IRS).  The certificate shall have an original green certified copy stamp and shall be valid for six (6) months from the most recent approval stamp date on the certificate. The Tax Clearance Application, Form A-6, and its completion and filing instructions, are available on the DOTAX website: </w:t>
      </w:r>
      <w:hyperlink r:id="rId10">
        <w:r w:rsidRPr="43045F28">
          <w:rPr>
            <w:rStyle w:val="Hyperlink"/>
            <w:rFonts w:asciiTheme="minorHAnsi" w:eastAsiaTheme="minorEastAsia" w:hAnsiTheme="minorHAnsi" w:cstheme="minorBidi"/>
            <w:color w:val="000000" w:themeColor="text1"/>
            <w:sz w:val="22"/>
            <w:szCs w:val="22"/>
          </w:rPr>
          <w:t>http://tax.hawaii.gov/forms/</w:t>
        </w:r>
      </w:hyperlink>
      <w:r w:rsidRPr="43045F28">
        <w:rPr>
          <w:rFonts w:asciiTheme="minorHAnsi" w:eastAsiaTheme="minorEastAsia" w:hAnsiTheme="minorHAnsi" w:cstheme="minorBidi"/>
          <w:color w:val="000000" w:themeColor="text1"/>
          <w:sz w:val="22"/>
          <w:szCs w:val="22"/>
        </w:rPr>
        <w:t xml:space="preserve">.  </w:t>
      </w:r>
    </w:p>
    <w:p w14:paraId="1477DCD8" w14:textId="0DA3C501" w:rsidR="43045F28" w:rsidRDefault="43045F28" w:rsidP="43045F28"/>
    <w:p w14:paraId="38F4F7DC" w14:textId="03A24FDE" w:rsidR="4E3A3C3E" w:rsidRDefault="43045F28" w:rsidP="4E3A3C3E">
      <w:pPr>
        <w:pStyle w:val="Heading3"/>
        <w:ind w:left="720"/>
      </w:pPr>
      <w:r w:rsidRPr="43045F28">
        <w:rPr>
          <w:rFonts w:asciiTheme="minorHAnsi" w:eastAsiaTheme="minorEastAsia" w:hAnsiTheme="minorHAnsi" w:cstheme="minorBidi"/>
          <w:color w:val="000000" w:themeColor="text1"/>
          <w:sz w:val="22"/>
          <w:szCs w:val="22"/>
        </w:rPr>
        <w:lastRenderedPageBreak/>
        <w:t xml:space="preserve">18.3.5.2 HRS Chapters 383 (Unemployment Insurance), 386 (Workers’ Compensation), 392 (Temporary Disability Insurance), and 393 (Prepaid Health Care) requirements for award. Pursuant to Section 103D-310(c), HRS, the lowest responsive Bidder shall be required to submit a certificate of compliance issued by the Hawaii State Department of Labor and Industrial Relations (DLIR).  The certificate is valid for six (6) months from the date of issue.  A photocopy of the certificate is acceptable to the State POC.  The DLIR Form LIR#27 Application for Certificate of Compliance with Section 3-122-112, HAR, and its filing instructions are available on the DLIR website: </w:t>
      </w:r>
      <w:hyperlink r:id="rId11">
        <w:r w:rsidRPr="43045F28">
          <w:rPr>
            <w:rStyle w:val="Hyperlink"/>
            <w:rFonts w:asciiTheme="minorHAnsi" w:eastAsiaTheme="minorEastAsia" w:hAnsiTheme="minorHAnsi" w:cstheme="minorBidi"/>
            <w:color w:val="000000" w:themeColor="text1"/>
            <w:sz w:val="22"/>
            <w:szCs w:val="22"/>
          </w:rPr>
          <w:t>http://labor.hawaii.gov/forms/</w:t>
        </w:r>
      </w:hyperlink>
      <w:r w:rsidRPr="43045F28">
        <w:rPr>
          <w:rFonts w:asciiTheme="minorHAnsi" w:eastAsiaTheme="minorEastAsia" w:hAnsiTheme="minorHAnsi" w:cstheme="minorBidi"/>
          <w:color w:val="000000" w:themeColor="text1"/>
          <w:sz w:val="22"/>
          <w:szCs w:val="22"/>
        </w:rPr>
        <w:t>.</w:t>
      </w:r>
    </w:p>
    <w:p w14:paraId="79318055" w14:textId="1E94C081" w:rsidR="43045F28" w:rsidRDefault="43045F28" w:rsidP="43045F28">
      <w:pPr>
        <w:pStyle w:val="Heading3"/>
        <w:ind w:left="720"/>
      </w:pPr>
    </w:p>
    <w:p w14:paraId="1E2EE057" w14:textId="4920BE66" w:rsidR="4E3A3C3E" w:rsidRDefault="43045F28" w:rsidP="4E3A3C3E">
      <w:pPr>
        <w:pStyle w:val="Heading3"/>
        <w:ind w:left="720"/>
      </w:pPr>
      <w:r w:rsidRPr="43045F28">
        <w:rPr>
          <w:rFonts w:asciiTheme="minorHAnsi" w:eastAsiaTheme="minorEastAsia" w:hAnsiTheme="minorHAnsi" w:cstheme="minorBidi"/>
          <w:color w:val="000000" w:themeColor="text1"/>
          <w:sz w:val="22"/>
          <w:szCs w:val="22"/>
        </w:rPr>
        <w:t xml:space="preserve">18.3.5.3 Compliance with Section 103D-310(c), HRS, for an entity doing business in the State.  The lowest responsive Bidder shall be required to submit a Certificate of Good Standing (COGS) issued by the State of Hawaii Department of Commerce and Consumer Affairs (DCCA) - Business Registration Division (BREG).  The Certificate is valid for six (6) months from date of issue.  A photocopy of the certificate is acceptable to the State POC.  To obtain the certificate, the Bidder must be registered with the BREG.  A sole proprietorship is not required to register with the BREG and is therefore not required to submit the certificate.  For more information regarding online business registration and the COGS is available at </w:t>
      </w:r>
      <w:hyperlink r:id="rId12">
        <w:r w:rsidRPr="43045F28">
          <w:rPr>
            <w:rStyle w:val="Hyperlink"/>
            <w:rFonts w:asciiTheme="minorHAnsi" w:eastAsiaTheme="minorEastAsia" w:hAnsiTheme="minorHAnsi" w:cstheme="minorBidi"/>
            <w:color w:val="000000" w:themeColor="text1"/>
            <w:sz w:val="22"/>
            <w:szCs w:val="22"/>
          </w:rPr>
          <w:t>http://dcca.hawaii.gov/breg/</w:t>
        </w:r>
      </w:hyperlink>
      <w:r w:rsidRPr="43045F28">
        <w:rPr>
          <w:rFonts w:asciiTheme="minorHAnsi" w:eastAsiaTheme="minorEastAsia" w:hAnsiTheme="minorHAnsi" w:cstheme="minorBidi"/>
          <w:color w:val="000000" w:themeColor="text1"/>
          <w:sz w:val="22"/>
          <w:szCs w:val="22"/>
        </w:rPr>
        <w:t xml:space="preserve">.  </w:t>
      </w:r>
    </w:p>
    <w:p w14:paraId="6107BAF7" w14:textId="4F3FB807" w:rsidR="43045F28" w:rsidRDefault="43045F28" w:rsidP="43045F28">
      <w:pPr>
        <w:pStyle w:val="Heading3"/>
        <w:ind w:left="720"/>
      </w:pPr>
    </w:p>
    <w:p w14:paraId="42A3FE6F" w14:textId="1C045368" w:rsidR="4E3A3C3E" w:rsidRDefault="43045F28" w:rsidP="4E3A3C3E">
      <w:pPr>
        <w:pStyle w:val="Heading3"/>
        <w:ind w:left="720"/>
      </w:pPr>
      <w:r w:rsidRPr="43045F28">
        <w:rPr>
          <w:rFonts w:asciiTheme="minorHAnsi" w:eastAsiaTheme="minorEastAsia" w:hAnsiTheme="minorHAnsi" w:cstheme="minorBidi"/>
          <w:color w:val="000000" w:themeColor="text1"/>
          <w:sz w:val="22"/>
          <w:szCs w:val="22"/>
        </w:rPr>
        <w:t xml:space="preserve">18.3.5.4 Timely Registration.  The above certificates should be applied for and submitted to the State POC as part of the Offer Response.  If a valid certificate is not submitted on a timely basis for award of a contract, an Offeror otherwise responsive, may not receive the award.  </w:t>
      </w:r>
    </w:p>
    <w:p w14:paraId="5DAA2667" w14:textId="009AF749" w:rsidR="43045F28" w:rsidRDefault="43045F28" w:rsidP="43045F28"/>
    <w:p w14:paraId="79C505F6" w14:textId="336E339B" w:rsidR="4E3A3C3E" w:rsidRDefault="43045F28" w:rsidP="4E3A3C3E">
      <w:pPr>
        <w:pStyle w:val="Heading3"/>
        <w:ind w:left="720"/>
      </w:pPr>
      <w:r w:rsidRPr="43045F28">
        <w:rPr>
          <w:rFonts w:asciiTheme="minorHAnsi" w:eastAsiaTheme="minorEastAsia" w:hAnsiTheme="minorHAnsi" w:cstheme="minorBidi"/>
          <w:color w:val="000000" w:themeColor="text1"/>
          <w:sz w:val="22"/>
          <w:szCs w:val="22"/>
        </w:rPr>
        <w:t>18.3.5.5 Verification of Compliance.  Upon receipt of compliance documents (A-6, LIR#27, COGS), the State POC reserves the right to verify their validity with the respective issuing agency. The Contractor shall maintain their compliance throughout the term of the contract.</w:t>
      </w:r>
    </w:p>
    <w:p w14:paraId="31E40FD8" w14:textId="68C8D410" w:rsidR="4E3A3C3E" w:rsidRDefault="4E3A3C3E" w:rsidP="4E3A3C3E"/>
    <w:p w14:paraId="3CF37CAE" w14:textId="02D529A9" w:rsidR="4E3A3C3E" w:rsidRPr="007D3DF9" w:rsidRDefault="43045F28" w:rsidP="43045F28">
      <w:pPr>
        <w:pStyle w:val="ListParagraph"/>
        <w:numPr>
          <w:ilvl w:val="0"/>
          <w:numId w:val="1"/>
        </w:numPr>
        <w:rPr>
          <w:rFonts w:eastAsiaTheme="minorEastAsia"/>
          <w:color w:val="000000" w:themeColor="text1"/>
        </w:rPr>
      </w:pPr>
      <w:r w:rsidRPr="43045F28">
        <w:rPr>
          <w:rFonts w:eastAsiaTheme="minorEastAsia"/>
          <w:color w:val="000000" w:themeColor="text1"/>
        </w:rPr>
        <w:t>.PDF files of Bargaining Unit contract</w:t>
      </w:r>
      <w:r w:rsidR="00F070FF">
        <w:rPr>
          <w:rFonts w:eastAsiaTheme="minorEastAsia"/>
          <w:color w:val="000000" w:themeColor="text1"/>
        </w:rPr>
        <w:t>s</w:t>
      </w:r>
      <w:r w:rsidRPr="43045F28">
        <w:rPr>
          <w:rFonts w:eastAsiaTheme="minorEastAsia"/>
          <w:color w:val="000000" w:themeColor="text1"/>
        </w:rPr>
        <w:t xml:space="preserve"> have been added to the Offerors Library</w:t>
      </w:r>
    </w:p>
    <w:p w14:paraId="09C2915C" w14:textId="66466005" w:rsidR="43045F28" w:rsidRDefault="43045F28" w:rsidP="43045F28"/>
    <w:p w14:paraId="0654F681" w14:textId="3D3DDF38" w:rsidR="007D3DF9" w:rsidRDefault="43045F28" w:rsidP="43045F28">
      <w:pPr>
        <w:pStyle w:val="ListParagraph"/>
        <w:numPr>
          <w:ilvl w:val="1"/>
          <w:numId w:val="1"/>
        </w:numPr>
        <w:rPr>
          <w:rFonts w:eastAsiaTheme="minorEastAsia"/>
          <w:color w:val="000000" w:themeColor="text1"/>
        </w:rPr>
      </w:pPr>
      <w:r w:rsidRPr="43045F28">
        <w:rPr>
          <w:rFonts w:eastAsiaTheme="minorEastAsia"/>
          <w:color w:val="000000" w:themeColor="text1"/>
        </w:rPr>
        <w:t>BU-8-2013-15-HGEA-Unit 8-contract</w:t>
      </w:r>
    </w:p>
    <w:p w14:paraId="55767A47" w14:textId="511AE6BB" w:rsidR="007D3DF9" w:rsidRDefault="43045F28" w:rsidP="43045F28">
      <w:pPr>
        <w:pStyle w:val="ListParagraph"/>
        <w:numPr>
          <w:ilvl w:val="1"/>
          <w:numId w:val="1"/>
        </w:numPr>
        <w:rPr>
          <w:rFonts w:eastAsiaTheme="minorEastAsia"/>
          <w:color w:val="000000" w:themeColor="text1"/>
        </w:rPr>
      </w:pPr>
      <w:r w:rsidRPr="43045F28">
        <w:rPr>
          <w:rFonts w:eastAsiaTheme="minorEastAsia"/>
          <w:color w:val="000000" w:themeColor="text1"/>
        </w:rPr>
        <w:t>BU-01-UPW-2007-09-CBA</w:t>
      </w:r>
    </w:p>
    <w:p w14:paraId="09428286" w14:textId="2F1E0A30" w:rsidR="007D3DF9" w:rsidRDefault="43045F28" w:rsidP="43045F28">
      <w:pPr>
        <w:pStyle w:val="ListParagraph"/>
        <w:numPr>
          <w:ilvl w:val="1"/>
          <w:numId w:val="1"/>
        </w:numPr>
        <w:rPr>
          <w:rFonts w:eastAsiaTheme="minorEastAsia"/>
          <w:color w:val="000000" w:themeColor="text1"/>
        </w:rPr>
      </w:pPr>
      <w:r w:rsidRPr="43045F28">
        <w:rPr>
          <w:rFonts w:eastAsiaTheme="minorEastAsia"/>
          <w:color w:val="000000" w:themeColor="text1"/>
        </w:rPr>
        <w:t>BU-02-HGEA-2007-09-CBA</w:t>
      </w:r>
    </w:p>
    <w:p w14:paraId="0CBA2C00" w14:textId="66049FAB" w:rsidR="007D3DF9" w:rsidRDefault="43045F28" w:rsidP="43045F28">
      <w:pPr>
        <w:pStyle w:val="ListParagraph"/>
        <w:numPr>
          <w:ilvl w:val="1"/>
          <w:numId w:val="1"/>
        </w:numPr>
        <w:rPr>
          <w:rFonts w:eastAsiaTheme="minorEastAsia"/>
          <w:color w:val="000000" w:themeColor="text1"/>
        </w:rPr>
      </w:pPr>
      <w:r w:rsidRPr="43045F28">
        <w:rPr>
          <w:rFonts w:eastAsiaTheme="minorEastAsia"/>
          <w:color w:val="000000" w:themeColor="text1"/>
        </w:rPr>
        <w:t>BU-03-HGEA-2007-09-CBA</w:t>
      </w:r>
    </w:p>
    <w:p w14:paraId="2894256C" w14:textId="16BFC8AD" w:rsidR="007D3DF9" w:rsidRDefault="43045F28" w:rsidP="43045F28">
      <w:pPr>
        <w:pStyle w:val="ListParagraph"/>
        <w:numPr>
          <w:ilvl w:val="1"/>
          <w:numId w:val="1"/>
        </w:numPr>
        <w:rPr>
          <w:rFonts w:eastAsiaTheme="minorEastAsia"/>
          <w:color w:val="000000" w:themeColor="text1"/>
        </w:rPr>
      </w:pPr>
      <w:r w:rsidRPr="43045F28">
        <w:rPr>
          <w:rFonts w:eastAsiaTheme="minorEastAsia"/>
          <w:color w:val="000000" w:themeColor="text1"/>
        </w:rPr>
        <w:t>BU-04-HGEA-2007-09-CBA</w:t>
      </w:r>
    </w:p>
    <w:p w14:paraId="56826013" w14:textId="13A2BC63" w:rsidR="007D3DF9" w:rsidRDefault="43045F28" w:rsidP="43045F28">
      <w:pPr>
        <w:pStyle w:val="ListParagraph"/>
        <w:numPr>
          <w:ilvl w:val="1"/>
          <w:numId w:val="1"/>
        </w:numPr>
        <w:rPr>
          <w:rFonts w:eastAsiaTheme="minorEastAsia"/>
          <w:color w:val="000000" w:themeColor="text1"/>
        </w:rPr>
      </w:pPr>
      <w:r w:rsidRPr="43045F28">
        <w:rPr>
          <w:rFonts w:eastAsiaTheme="minorEastAsia"/>
          <w:color w:val="000000" w:themeColor="text1"/>
        </w:rPr>
        <w:t>BU-09-HGEA-2007-09-CBA</w:t>
      </w:r>
    </w:p>
    <w:p w14:paraId="6521CD7F" w14:textId="55BF602B" w:rsidR="007D3DF9" w:rsidRDefault="43045F28" w:rsidP="43045F28">
      <w:pPr>
        <w:pStyle w:val="ListParagraph"/>
        <w:numPr>
          <w:ilvl w:val="1"/>
          <w:numId w:val="1"/>
        </w:numPr>
        <w:rPr>
          <w:rFonts w:eastAsiaTheme="minorEastAsia"/>
          <w:color w:val="000000" w:themeColor="text1"/>
        </w:rPr>
      </w:pPr>
      <w:r w:rsidRPr="43045F28">
        <w:rPr>
          <w:rFonts w:eastAsiaTheme="minorEastAsia"/>
          <w:color w:val="000000" w:themeColor="text1"/>
        </w:rPr>
        <w:t>BU-10-UPW-2007-09-CBA</w:t>
      </w:r>
    </w:p>
    <w:p w14:paraId="29D940BE" w14:textId="4FFDDDFB" w:rsidR="007D3DF9" w:rsidRDefault="43045F28" w:rsidP="43045F28">
      <w:pPr>
        <w:pStyle w:val="ListParagraph"/>
        <w:numPr>
          <w:ilvl w:val="1"/>
          <w:numId w:val="1"/>
        </w:numPr>
        <w:rPr>
          <w:rFonts w:eastAsiaTheme="minorEastAsia"/>
          <w:color w:val="000000" w:themeColor="text1"/>
        </w:rPr>
      </w:pPr>
      <w:r w:rsidRPr="43045F28">
        <w:rPr>
          <w:rFonts w:eastAsiaTheme="minorEastAsia"/>
          <w:color w:val="000000" w:themeColor="text1"/>
        </w:rPr>
        <w:t>BU-11-HFFA-2007-11-CBA</w:t>
      </w:r>
    </w:p>
    <w:p w14:paraId="5939B382" w14:textId="187C59DC" w:rsidR="007D3DF9" w:rsidRDefault="43045F28" w:rsidP="43045F28">
      <w:pPr>
        <w:pStyle w:val="ListParagraph"/>
        <w:numPr>
          <w:ilvl w:val="1"/>
          <w:numId w:val="1"/>
        </w:numPr>
        <w:rPr>
          <w:rFonts w:eastAsiaTheme="minorEastAsia"/>
          <w:color w:val="000000" w:themeColor="text1"/>
        </w:rPr>
      </w:pPr>
      <w:r w:rsidRPr="43045F28">
        <w:rPr>
          <w:rFonts w:eastAsiaTheme="minorEastAsia"/>
          <w:color w:val="000000" w:themeColor="text1"/>
        </w:rPr>
        <w:t>BU-13-HGEA-2007-09-CBA</w:t>
      </w:r>
    </w:p>
    <w:p w14:paraId="06041775" w14:textId="758FFF0C" w:rsidR="007D3DF9" w:rsidRDefault="43045F28" w:rsidP="43045F28">
      <w:pPr>
        <w:pStyle w:val="ListParagraph"/>
        <w:numPr>
          <w:ilvl w:val="1"/>
          <w:numId w:val="1"/>
        </w:numPr>
        <w:rPr>
          <w:rFonts w:eastAsiaTheme="minorEastAsia"/>
          <w:color w:val="000000" w:themeColor="text1"/>
        </w:rPr>
      </w:pPr>
      <w:r w:rsidRPr="43045F28">
        <w:rPr>
          <w:rFonts w:eastAsiaTheme="minorEastAsia"/>
          <w:color w:val="000000" w:themeColor="text1"/>
        </w:rPr>
        <w:t>UH-BOR-2015-2017-final-greement-150817</w:t>
      </w:r>
    </w:p>
    <w:p w14:paraId="6CE60A17" w14:textId="4AFE8C0E" w:rsidR="43045F28" w:rsidRDefault="43045F28" w:rsidP="43045F28"/>
    <w:p w14:paraId="6954AFEC" w14:textId="78FBC853" w:rsidR="00397B4C" w:rsidRPr="00397B4C" w:rsidRDefault="43045F28" w:rsidP="43045F28">
      <w:pPr>
        <w:pStyle w:val="ListParagraph"/>
        <w:numPr>
          <w:ilvl w:val="0"/>
          <w:numId w:val="1"/>
        </w:numPr>
        <w:rPr>
          <w:rFonts w:eastAsiaTheme="minorEastAsia"/>
          <w:color w:val="000000" w:themeColor="text1"/>
        </w:rPr>
      </w:pPr>
      <w:r w:rsidRPr="43045F28">
        <w:rPr>
          <w:rFonts w:eastAsiaTheme="minorEastAsia"/>
          <w:color w:val="000000" w:themeColor="text1"/>
        </w:rPr>
        <w:lastRenderedPageBreak/>
        <w:t>Exhibit 1, Section 1, “Procedures for Submitting an Offer”, Section 1.1.7,</w:t>
      </w:r>
      <w:r w:rsidR="00397B4C">
        <w:br/>
      </w:r>
    </w:p>
    <w:p w14:paraId="60A7C676" w14:textId="187A21CE" w:rsidR="00397B4C" w:rsidRPr="00397B4C" w:rsidRDefault="43045F28" w:rsidP="00397B4C">
      <w:pPr>
        <w:pStyle w:val="ListParagraph"/>
      </w:pPr>
      <w:r w:rsidRPr="43045F28">
        <w:rPr>
          <w:rFonts w:eastAsiaTheme="minorEastAsia"/>
          <w:color w:val="000000" w:themeColor="text1"/>
        </w:rPr>
        <w:t>Currently Reads</w:t>
      </w:r>
      <w:r w:rsidR="00397B4C">
        <w:br/>
      </w:r>
      <w:r w:rsidRPr="43045F28">
        <w:rPr>
          <w:rFonts w:eastAsiaTheme="minorEastAsia"/>
          <w:color w:val="000000" w:themeColor="text1"/>
        </w:rPr>
        <w:t>Files from an Offeror over 10MB in size, shall be split into a series of volumes (not larger in size than 10MB) to ensure convenient management and trouble-free uploading and downloading, and include the RFP Number and the Offeror name in the file name.</w:t>
      </w:r>
      <w:r w:rsidR="00397B4C">
        <w:br/>
      </w:r>
      <w:r w:rsidR="00397B4C">
        <w:br/>
      </w:r>
      <w:r w:rsidRPr="43045F28">
        <w:rPr>
          <w:rFonts w:eastAsiaTheme="minorEastAsia"/>
          <w:color w:val="000000" w:themeColor="text1"/>
        </w:rPr>
        <w:t>Has Been Revised to Read</w:t>
      </w:r>
      <w:r w:rsidR="00397B4C">
        <w:br/>
      </w:r>
      <w:r w:rsidRPr="43045F28">
        <w:rPr>
          <w:rFonts w:eastAsiaTheme="minorEastAsia"/>
          <w:color w:val="000000" w:themeColor="text1"/>
        </w:rPr>
        <w:t>Files from an Offeror over 50MB in size, shall be split into a series of volumes (not larger in size than 50MB) to ensure convenient management and trouble-free uploading and downloading, and include the RFP Number and the Offeror name in the file name.</w:t>
      </w:r>
      <w:r w:rsidR="00397B4C">
        <w:br/>
      </w:r>
    </w:p>
    <w:p w14:paraId="696A2A3E" w14:textId="15698A53" w:rsidR="00686C97" w:rsidRPr="00EF645F" w:rsidRDefault="43045F28" w:rsidP="43045F28">
      <w:pPr>
        <w:pStyle w:val="ListParagraph"/>
        <w:numPr>
          <w:ilvl w:val="0"/>
          <w:numId w:val="1"/>
        </w:numPr>
        <w:rPr>
          <w:rFonts w:eastAsiaTheme="minorEastAsia"/>
          <w:color w:val="000000" w:themeColor="text1"/>
        </w:rPr>
      </w:pPr>
      <w:r w:rsidRPr="43045F28">
        <w:rPr>
          <w:rFonts w:eastAsiaTheme="minorEastAsia"/>
          <w:color w:val="000000" w:themeColor="text1"/>
        </w:rPr>
        <w:t>Appendix I, “Number of End Users”, Section 2.0, “Anticipated Number of Future End-Users”, Paragraph 2,</w:t>
      </w:r>
    </w:p>
    <w:p w14:paraId="7113CF42" w14:textId="21D33F4B" w:rsidR="00686C97" w:rsidRPr="00686C97" w:rsidRDefault="00686C97" w:rsidP="00686C97">
      <w:pPr>
        <w:pStyle w:val="ListParagraph"/>
        <w:spacing w:after="0"/>
        <w:rPr>
          <w:rFonts w:ascii="Arial" w:eastAsia="Arial" w:hAnsi="Arial" w:cs="Arial"/>
        </w:rPr>
      </w:pPr>
      <w:r>
        <w:br/>
      </w:r>
      <w:r w:rsidR="43045F28" w:rsidRPr="43045F28">
        <w:rPr>
          <w:rFonts w:eastAsiaTheme="minorEastAsia"/>
          <w:color w:val="000000" w:themeColor="text1"/>
        </w:rPr>
        <w:t>Currently Reads</w:t>
      </w:r>
    </w:p>
    <w:p w14:paraId="3644DC87" w14:textId="4827F544" w:rsidR="00686C97" w:rsidRDefault="43045F28" w:rsidP="00686C97">
      <w:pPr>
        <w:spacing w:after="0"/>
        <w:ind w:left="720"/>
      </w:pPr>
      <w:r w:rsidRPr="43045F28">
        <w:rPr>
          <w:rFonts w:eastAsiaTheme="minorEastAsia"/>
          <w:color w:val="000000" w:themeColor="text1"/>
        </w:rPr>
        <w:t>The State anticipates that all employees will require some self-service functionality (e.g., requisition processing, human resources, benefits administration, and time entry) across all modules.  Specific functionality regarding self-service is detailed in “Appendix C1 - C6, Functional Requirements.”</w:t>
      </w:r>
    </w:p>
    <w:p w14:paraId="7FBF2924" w14:textId="77777777" w:rsidR="00686C97" w:rsidRPr="00686C97" w:rsidRDefault="00686C97" w:rsidP="00686C97">
      <w:pPr>
        <w:spacing w:after="0"/>
        <w:ind w:left="720"/>
      </w:pPr>
    </w:p>
    <w:p w14:paraId="0ACD0A96" w14:textId="77777777" w:rsidR="00686C97" w:rsidRDefault="43045F28" w:rsidP="00686C97">
      <w:pPr>
        <w:ind w:left="720"/>
      </w:pPr>
      <w:r w:rsidRPr="43045F28">
        <w:rPr>
          <w:rFonts w:eastAsiaTheme="minorEastAsia"/>
          <w:color w:val="000000" w:themeColor="text1"/>
        </w:rPr>
        <w:t>The following table contains the total number of permanent and temporary positions based on the 2013 fiscal year budget.  The estimates for the DOE also include applicants who will require self-service access to specific modules (e.g., recruitment).</w:t>
      </w:r>
    </w:p>
    <w:p w14:paraId="771BD80F" w14:textId="77777777" w:rsidR="00686C97" w:rsidRDefault="00686C97" w:rsidP="00686C97">
      <w:pPr>
        <w:spacing w:after="200" w:line="276" w:lineRule="auto"/>
      </w:pPr>
      <w:r w:rsidRPr="43045F28">
        <w:rPr>
          <w:rFonts w:eastAsiaTheme="minorEastAsia"/>
          <w:color w:val="000000" w:themeColor="text1"/>
        </w:rPr>
        <w:br w:type="page"/>
      </w:r>
    </w:p>
    <w:p w14:paraId="023CA0CD" w14:textId="49FD6EDD" w:rsidR="00686C97" w:rsidRPr="00AA3AE2" w:rsidRDefault="00686C97" w:rsidP="00EF645F">
      <w:pPr>
        <w:pStyle w:val="TableNumberedList"/>
        <w:numPr>
          <w:ilvl w:val="0"/>
          <w:numId w:val="0"/>
        </w:numPr>
        <w:ind w:left="720"/>
      </w:pPr>
      <w:bookmarkStart w:id="1" w:name="_Toc361732335"/>
      <w:r w:rsidRPr="43045F28">
        <w:rPr>
          <w:rFonts w:asciiTheme="minorHAnsi" w:eastAsiaTheme="minorEastAsia" w:hAnsiTheme="minorHAnsi" w:cstheme="minorBidi"/>
          <w:color w:val="000000" w:themeColor="text1"/>
          <w:sz w:val="22"/>
        </w:rPr>
        <w:lastRenderedPageBreak/>
        <w:t>Table 3.</w:t>
      </w:r>
      <w:r>
        <w:tab/>
      </w:r>
      <w:r w:rsidRPr="43045F28">
        <w:rPr>
          <w:rFonts w:asciiTheme="minorHAnsi" w:eastAsiaTheme="minorEastAsia" w:hAnsiTheme="minorHAnsi" w:cstheme="minorBidi"/>
          <w:color w:val="000000" w:themeColor="text1"/>
          <w:sz w:val="22"/>
        </w:rPr>
        <w:t>Anticipated Number of Self-Service End Users</w:t>
      </w:r>
      <w:bookmarkEnd w:id="1"/>
    </w:p>
    <w:tbl>
      <w:tblPr>
        <w:tblStyle w:val="TableGrid"/>
        <w:tblW w:w="8658" w:type="dxa"/>
        <w:tblInd w:w="720" w:type="dxa"/>
        <w:tblLayout w:type="fixed"/>
        <w:tblLook w:val="04A0" w:firstRow="1" w:lastRow="0" w:firstColumn="1" w:lastColumn="0" w:noHBand="0" w:noVBand="1"/>
      </w:tblPr>
      <w:tblGrid>
        <w:gridCol w:w="5598"/>
        <w:gridCol w:w="3060"/>
      </w:tblGrid>
      <w:tr w:rsidR="00686C97" w:rsidRPr="00486433" w14:paraId="721DA6E0" w14:textId="77777777" w:rsidTr="43045F28">
        <w:trPr>
          <w:cantSplit/>
          <w:trHeight w:val="350"/>
          <w:tblHeader/>
        </w:trPr>
        <w:tc>
          <w:tcPr>
            <w:tcW w:w="5598" w:type="dxa"/>
            <w:vMerge w:val="restart"/>
            <w:shd w:val="clear" w:color="auto" w:fill="D9D9D9" w:themeFill="background1" w:themeFillShade="D9"/>
          </w:tcPr>
          <w:p w14:paraId="6AF19AEF" w14:textId="77777777" w:rsidR="00686C97" w:rsidRPr="00486433" w:rsidRDefault="43045F28" w:rsidP="00686C97">
            <w:pPr>
              <w:rPr>
                <w:b/>
              </w:rPr>
            </w:pPr>
            <w:r w:rsidRPr="43045F28">
              <w:rPr>
                <w:rFonts w:asciiTheme="minorHAnsi" w:eastAsiaTheme="minorEastAsia" w:hAnsiTheme="minorHAnsi" w:cstheme="minorBidi"/>
                <w:b/>
                <w:bCs/>
                <w:color w:val="000000" w:themeColor="text1"/>
                <w:sz w:val="22"/>
                <w:szCs w:val="22"/>
              </w:rPr>
              <w:t>Department</w:t>
            </w:r>
          </w:p>
        </w:tc>
        <w:tc>
          <w:tcPr>
            <w:tcW w:w="3060" w:type="dxa"/>
            <w:vMerge w:val="restart"/>
            <w:shd w:val="clear" w:color="auto" w:fill="D9D9D9" w:themeFill="background1" w:themeFillShade="D9"/>
          </w:tcPr>
          <w:p w14:paraId="51D1A116" w14:textId="630A0127" w:rsidR="00686C97" w:rsidRPr="00486433" w:rsidRDefault="43045F28" w:rsidP="00686C97">
            <w:pPr>
              <w:jc w:val="center"/>
              <w:rPr>
                <w:b/>
              </w:rPr>
            </w:pPr>
            <w:r w:rsidRPr="43045F28">
              <w:rPr>
                <w:rFonts w:asciiTheme="minorHAnsi" w:eastAsiaTheme="minorEastAsia" w:hAnsiTheme="minorHAnsi" w:cstheme="minorBidi"/>
                <w:b/>
                <w:bCs/>
                <w:color w:val="000000" w:themeColor="text1"/>
                <w:sz w:val="22"/>
                <w:szCs w:val="22"/>
              </w:rPr>
              <w:t>Number of Anticipated Self-Service End Users</w:t>
            </w:r>
          </w:p>
        </w:tc>
      </w:tr>
      <w:tr w:rsidR="00686C97" w:rsidRPr="00486433" w14:paraId="1B9FBCCA" w14:textId="77777777" w:rsidTr="00EF645F">
        <w:trPr>
          <w:cantSplit/>
          <w:trHeight w:val="350"/>
          <w:tblHeader/>
        </w:trPr>
        <w:tc>
          <w:tcPr>
            <w:tcW w:w="5598" w:type="dxa"/>
            <w:vMerge/>
            <w:tcBorders>
              <w:bottom w:val="single" w:sz="4" w:space="0" w:color="auto"/>
            </w:tcBorders>
            <w:shd w:val="clear" w:color="auto" w:fill="D9D9D9" w:themeFill="background1" w:themeFillShade="D9"/>
          </w:tcPr>
          <w:p w14:paraId="7697D010" w14:textId="77777777" w:rsidR="00686C97" w:rsidRPr="00486433" w:rsidRDefault="00686C97" w:rsidP="00686C97">
            <w:pPr>
              <w:jc w:val="center"/>
              <w:rPr>
                <w:b/>
              </w:rPr>
            </w:pPr>
          </w:p>
        </w:tc>
        <w:tc>
          <w:tcPr>
            <w:tcW w:w="3060" w:type="dxa"/>
            <w:vMerge/>
            <w:tcBorders>
              <w:bottom w:val="single" w:sz="4" w:space="0" w:color="auto"/>
            </w:tcBorders>
            <w:shd w:val="clear" w:color="auto" w:fill="D9D9D9" w:themeFill="background1" w:themeFillShade="D9"/>
          </w:tcPr>
          <w:p w14:paraId="3915FD35" w14:textId="77777777" w:rsidR="00686C97" w:rsidRPr="00486433" w:rsidRDefault="00686C97" w:rsidP="00686C97">
            <w:pPr>
              <w:jc w:val="center"/>
              <w:rPr>
                <w:b/>
                <w:color w:val="FF0000"/>
              </w:rPr>
            </w:pPr>
          </w:p>
        </w:tc>
      </w:tr>
      <w:tr w:rsidR="00686C97" w:rsidRPr="00486433" w14:paraId="335AD797" w14:textId="77777777" w:rsidTr="43045F28">
        <w:trPr>
          <w:cantSplit/>
        </w:trPr>
        <w:tc>
          <w:tcPr>
            <w:tcW w:w="5598" w:type="dxa"/>
            <w:shd w:val="clear" w:color="auto" w:fill="F2F2F2" w:themeFill="background1" w:themeFillShade="F2"/>
            <w:vAlign w:val="center"/>
          </w:tcPr>
          <w:p w14:paraId="5A1A3F63" w14:textId="77777777" w:rsidR="00686C97" w:rsidRPr="00486433" w:rsidRDefault="43045F28" w:rsidP="00686C97">
            <w:pPr>
              <w:rPr>
                <w:b/>
              </w:rPr>
            </w:pPr>
            <w:r w:rsidRPr="43045F28">
              <w:rPr>
                <w:rFonts w:asciiTheme="minorHAnsi" w:eastAsiaTheme="minorEastAsia" w:hAnsiTheme="minorHAnsi" w:cstheme="minorBidi"/>
                <w:b/>
                <w:bCs/>
                <w:color w:val="000000" w:themeColor="text1"/>
                <w:sz w:val="22"/>
                <w:szCs w:val="22"/>
              </w:rPr>
              <w:t>Central</w:t>
            </w:r>
          </w:p>
        </w:tc>
        <w:tc>
          <w:tcPr>
            <w:tcW w:w="3060" w:type="dxa"/>
            <w:shd w:val="clear" w:color="auto" w:fill="F2F2F2" w:themeFill="background1" w:themeFillShade="F2"/>
            <w:vAlign w:val="center"/>
          </w:tcPr>
          <w:p w14:paraId="3BFEA709" w14:textId="77777777" w:rsidR="00686C97" w:rsidRPr="00486433" w:rsidRDefault="00686C97" w:rsidP="00686C97"/>
        </w:tc>
      </w:tr>
      <w:tr w:rsidR="00686C97" w:rsidRPr="00486433" w14:paraId="169E3082" w14:textId="77777777" w:rsidTr="43045F28">
        <w:trPr>
          <w:cantSplit/>
        </w:trPr>
        <w:tc>
          <w:tcPr>
            <w:tcW w:w="5598" w:type="dxa"/>
            <w:vAlign w:val="center"/>
          </w:tcPr>
          <w:p w14:paraId="3F0D9518" w14:textId="77777777" w:rsidR="00686C97" w:rsidRPr="00486433" w:rsidRDefault="43045F28" w:rsidP="00686C97">
            <w:r w:rsidRPr="43045F28">
              <w:rPr>
                <w:rFonts w:asciiTheme="minorHAnsi" w:eastAsiaTheme="minorEastAsia" w:hAnsiTheme="minorHAnsi" w:cstheme="minorBidi"/>
                <w:color w:val="000000" w:themeColor="text1"/>
                <w:sz w:val="22"/>
                <w:szCs w:val="22"/>
              </w:rPr>
              <w:t>Budget &amp; Finance</w:t>
            </w:r>
          </w:p>
        </w:tc>
        <w:tc>
          <w:tcPr>
            <w:tcW w:w="3060" w:type="dxa"/>
            <w:vAlign w:val="center"/>
          </w:tcPr>
          <w:p w14:paraId="071DA060" w14:textId="77777777" w:rsidR="00686C97" w:rsidRPr="00486433" w:rsidRDefault="43045F28" w:rsidP="00686C97">
            <w:pPr>
              <w:jc w:val="right"/>
            </w:pPr>
            <w:r w:rsidRPr="43045F28">
              <w:rPr>
                <w:rFonts w:asciiTheme="minorHAnsi" w:eastAsiaTheme="minorEastAsia" w:hAnsiTheme="minorHAnsi" w:cstheme="minorBidi"/>
                <w:color w:val="000000" w:themeColor="text1"/>
                <w:sz w:val="22"/>
                <w:szCs w:val="22"/>
              </w:rPr>
              <w:t>406</w:t>
            </w:r>
          </w:p>
        </w:tc>
      </w:tr>
      <w:tr w:rsidR="00686C97" w:rsidRPr="00486433" w14:paraId="64A82B8A" w14:textId="77777777" w:rsidTr="43045F28">
        <w:trPr>
          <w:cantSplit/>
          <w:trHeight w:val="70"/>
        </w:trPr>
        <w:tc>
          <w:tcPr>
            <w:tcW w:w="5598" w:type="dxa"/>
            <w:vAlign w:val="center"/>
          </w:tcPr>
          <w:p w14:paraId="4DB7B674" w14:textId="77777777" w:rsidR="00686C97" w:rsidRPr="00486433" w:rsidRDefault="43045F28" w:rsidP="00686C97">
            <w:r w:rsidRPr="43045F28">
              <w:rPr>
                <w:rFonts w:asciiTheme="minorHAnsi" w:eastAsiaTheme="minorEastAsia" w:hAnsiTheme="minorHAnsi" w:cstheme="minorBidi"/>
                <w:color w:val="000000" w:themeColor="text1"/>
                <w:sz w:val="22"/>
                <w:szCs w:val="22"/>
              </w:rPr>
              <w:t>DAGS</w:t>
            </w:r>
          </w:p>
        </w:tc>
        <w:tc>
          <w:tcPr>
            <w:tcW w:w="3060" w:type="dxa"/>
            <w:vAlign w:val="center"/>
          </w:tcPr>
          <w:p w14:paraId="1BDF6812" w14:textId="77777777" w:rsidR="00686C97" w:rsidRPr="00486433" w:rsidRDefault="43045F28" w:rsidP="00686C97">
            <w:pPr>
              <w:jc w:val="right"/>
            </w:pPr>
            <w:r w:rsidRPr="43045F28">
              <w:rPr>
                <w:rFonts w:asciiTheme="minorHAnsi" w:eastAsiaTheme="minorEastAsia" w:hAnsiTheme="minorHAnsi" w:cstheme="minorBidi"/>
                <w:color w:val="000000" w:themeColor="text1"/>
                <w:sz w:val="22"/>
                <w:szCs w:val="22"/>
              </w:rPr>
              <w:t>707</w:t>
            </w:r>
          </w:p>
        </w:tc>
      </w:tr>
      <w:tr w:rsidR="00686C97" w:rsidRPr="00486433" w14:paraId="61DEEAFC" w14:textId="77777777" w:rsidTr="43045F28">
        <w:trPr>
          <w:cantSplit/>
        </w:trPr>
        <w:tc>
          <w:tcPr>
            <w:tcW w:w="5598" w:type="dxa"/>
            <w:tcBorders>
              <w:bottom w:val="single" w:sz="4" w:space="0" w:color="auto"/>
            </w:tcBorders>
            <w:vAlign w:val="center"/>
          </w:tcPr>
          <w:p w14:paraId="229B4565" w14:textId="77777777" w:rsidR="00686C97" w:rsidRPr="00486433" w:rsidRDefault="43045F28" w:rsidP="00686C97">
            <w:r w:rsidRPr="43045F28">
              <w:rPr>
                <w:rFonts w:asciiTheme="minorHAnsi" w:eastAsiaTheme="minorEastAsia" w:hAnsiTheme="minorHAnsi" w:cstheme="minorBidi"/>
                <w:color w:val="000000" w:themeColor="text1"/>
                <w:sz w:val="22"/>
                <w:szCs w:val="22"/>
              </w:rPr>
              <w:t>DHRD</w:t>
            </w:r>
          </w:p>
        </w:tc>
        <w:tc>
          <w:tcPr>
            <w:tcW w:w="3060" w:type="dxa"/>
            <w:tcBorders>
              <w:bottom w:val="single" w:sz="4" w:space="0" w:color="auto"/>
            </w:tcBorders>
            <w:vAlign w:val="center"/>
          </w:tcPr>
          <w:p w14:paraId="39C1FBA0" w14:textId="77777777" w:rsidR="00686C97" w:rsidRPr="00486433" w:rsidRDefault="43045F28" w:rsidP="00686C97">
            <w:pPr>
              <w:jc w:val="right"/>
            </w:pPr>
            <w:r w:rsidRPr="43045F28">
              <w:rPr>
                <w:rFonts w:asciiTheme="minorHAnsi" w:eastAsiaTheme="minorEastAsia" w:hAnsiTheme="minorHAnsi" w:cstheme="minorBidi"/>
                <w:color w:val="000000" w:themeColor="text1"/>
                <w:sz w:val="22"/>
                <w:szCs w:val="22"/>
              </w:rPr>
              <w:t>92</w:t>
            </w:r>
          </w:p>
        </w:tc>
      </w:tr>
      <w:tr w:rsidR="00686C97" w:rsidRPr="00486433" w14:paraId="600A018A" w14:textId="77777777" w:rsidTr="43045F28">
        <w:trPr>
          <w:cantSplit/>
        </w:trPr>
        <w:tc>
          <w:tcPr>
            <w:tcW w:w="5598" w:type="dxa"/>
            <w:shd w:val="clear" w:color="auto" w:fill="F2F2F2" w:themeFill="background1" w:themeFillShade="F2"/>
            <w:vAlign w:val="center"/>
          </w:tcPr>
          <w:p w14:paraId="3FE9B8C9" w14:textId="77777777" w:rsidR="00686C97" w:rsidRPr="00486433" w:rsidRDefault="43045F28" w:rsidP="00686C97">
            <w:pPr>
              <w:rPr>
                <w:b/>
              </w:rPr>
            </w:pPr>
            <w:r w:rsidRPr="43045F28">
              <w:rPr>
                <w:rFonts w:asciiTheme="minorHAnsi" w:eastAsiaTheme="minorEastAsia" w:hAnsiTheme="minorHAnsi" w:cstheme="minorBidi"/>
                <w:b/>
                <w:bCs/>
                <w:color w:val="000000" w:themeColor="text1"/>
                <w:sz w:val="22"/>
                <w:szCs w:val="22"/>
              </w:rPr>
              <w:t>Other Executive Departments (including Education)</w:t>
            </w:r>
          </w:p>
        </w:tc>
        <w:tc>
          <w:tcPr>
            <w:tcW w:w="3060" w:type="dxa"/>
            <w:shd w:val="clear" w:color="auto" w:fill="F2F2F2" w:themeFill="background1" w:themeFillShade="F2"/>
            <w:vAlign w:val="center"/>
          </w:tcPr>
          <w:p w14:paraId="0462DECD" w14:textId="77777777" w:rsidR="00686C97" w:rsidRPr="00486433" w:rsidRDefault="00686C97" w:rsidP="00686C97">
            <w:pPr>
              <w:jc w:val="right"/>
            </w:pPr>
          </w:p>
        </w:tc>
      </w:tr>
      <w:tr w:rsidR="00686C97" w:rsidRPr="00486433" w14:paraId="7165D116" w14:textId="77777777" w:rsidTr="43045F28">
        <w:trPr>
          <w:cantSplit/>
        </w:trPr>
        <w:tc>
          <w:tcPr>
            <w:tcW w:w="5598" w:type="dxa"/>
            <w:vAlign w:val="center"/>
          </w:tcPr>
          <w:p w14:paraId="7AE9E545" w14:textId="77777777" w:rsidR="00686C97" w:rsidRPr="00486433" w:rsidRDefault="43045F28" w:rsidP="00686C97">
            <w:r w:rsidRPr="43045F28">
              <w:rPr>
                <w:rFonts w:asciiTheme="minorHAnsi" w:eastAsiaTheme="minorEastAsia" w:hAnsiTheme="minorHAnsi" w:cstheme="minorBidi"/>
                <w:color w:val="000000" w:themeColor="text1"/>
                <w:sz w:val="22"/>
                <w:szCs w:val="22"/>
              </w:rPr>
              <w:t>Agriculture</w:t>
            </w:r>
          </w:p>
        </w:tc>
        <w:tc>
          <w:tcPr>
            <w:tcW w:w="3060" w:type="dxa"/>
            <w:vAlign w:val="center"/>
          </w:tcPr>
          <w:p w14:paraId="7A0D759C" w14:textId="77777777" w:rsidR="00686C97" w:rsidRPr="00486433" w:rsidRDefault="43045F28" w:rsidP="00686C97">
            <w:pPr>
              <w:jc w:val="right"/>
            </w:pPr>
            <w:r w:rsidRPr="43045F28">
              <w:rPr>
                <w:rFonts w:asciiTheme="minorHAnsi" w:eastAsiaTheme="minorEastAsia" w:hAnsiTheme="minorHAnsi" w:cstheme="minorBidi"/>
                <w:color w:val="000000" w:themeColor="text1"/>
                <w:sz w:val="22"/>
                <w:szCs w:val="22"/>
              </w:rPr>
              <w:t>363</w:t>
            </w:r>
          </w:p>
        </w:tc>
      </w:tr>
      <w:tr w:rsidR="00686C97" w:rsidRPr="00486433" w14:paraId="5CC4C151" w14:textId="77777777" w:rsidTr="43045F28">
        <w:trPr>
          <w:cantSplit/>
        </w:trPr>
        <w:tc>
          <w:tcPr>
            <w:tcW w:w="5598" w:type="dxa"/>
            <w:vAlign w:val="center"/>
          </w:tcPr>
          <w:p w14:paraId="6A133D17" w14:textId="77777777" w:rsidR="00686C97" w:rsidRPr="00486433" w:rsidRDefault="43045F28" w:rsidP="00686C97">
            <w:r w:rsidRPr="43045F28">
              <w:rPr>
                <w:rFonts w:asciiTheme="minorHAnsi" w:eastAsiaTheme="minorEastAsia" w:hAnsiTheme="minorHAnsi" w:cstheme="minorBidi"/>
                <w:color w:val="000000" w:themeColor="text1"/>
                <w:sz w:val="22"/>
                <w:szCs w:val="22"/>
              </w:rPr>
              <w:t>Attorney General</w:t>
            </w:r>
          </w:p>
        </w:tc>
        <w:tc>
          <w:tcPr>
            <w:tcW w:w="3060" w:type="dxa"/>
            <w:vAlign w:val="center"/>
          </w:tcPr>
          <w:p w14:paraId="7F1B7E2F" w14:textId="77777777" w:rsidR="00686C97" w:rsidRPr="00486433" w:rsidRDefault="43045F28" w:rsidP="00686C97">
            <w:pPr>
              <w:jc w:val="right"/>
            </w:pPr>
            <w:r w:rsidRPr="43045F28">
              <w:rPr>
                <w:rFonts w:asciiTheme="minorHAnsi" w:eastAsiaTheme="minorEastAsia" w:hAnsiTheme="minorHAnsi" w:cstheme="minorBidi"/>
                <w:color w:val="000000" w:themeColor="text1"/>
                <w:sz w:val="22"/>
                <w:szCs w:val="22"/>
              </w:rPr>
              <w:t>766</w:t>
            </w:r>
          </w:p>
        </w:tc>
      </w:tr>
      <w:tr w:rsidR="00686C97" w:rsidRPr="00486433" w14:paraId="5917E294" w14:textId="77777777" w:rsidTr="43045F28">
        <w:trPr>
          <w:cantSplit/>
        </w:trPr>
        <w:tc>
          <w:tcPr>
            <w:tcW w:w="5598" w:type="dxa"/>
            <w:vAlign w:val="center"/>
          </w:tcPr>
          <w:p w14:paraId="03391E2A" w14:textId="77777777" w:rsidR="00686C97" w:rsidRPr="00486433" w:rsidRDefault="43045F28" w:rsidP="00686C97">
            <w:r w:rsidRPr="43045F28">
              <w:rPr>
                <w:rFonts w:asciiTheme="minorHAnsi" w:eastAsiaTheme="minorEastAsia" w:hAnsiTheme="minorHAnsi" w:cstheme="minorBidi"/>
                <w:color w:val="000000" w:themeColor="text1"/>
                <w:sz w:val="22"/>
                <w:szCs w:val="22"/>
              </w:rPr>
              <w:t>Business, Economic Development, &amp; Tourism</w:t>
            </w:r>
          </w:p>
        </w:tc>
        <w:tc>
          <w:tcPr>
            <w:tcW w:w="3060" w:type="dxa"/>
            <w:vAlign w:val="center"/>
          </w:tcPr>
          <w:p w14:paraId="4146EDA6" w14:textId="77777777" w:rsidR="00686C97" w:rsidRPr="00486433" w:rsidRDefault="43045F28" w:rsidP="00686C97">
            <w:pPr>
              <w:jc w:val="right"/>
            </w:pPr>
            <w:r w:rsidRPr="43045F28">
              <w:rPr>
                <w:rFonts w:asciiTheme="minorHAnsi" w:eastAsiaTheme="minorEastAsia" w:hAnsiTheme="minorHAnsi" w:cstheme="minorBidi"/>
                <w:color w:val="000000" w:themeColor="text1"/>
                <w:sz w:val="22"/>
                <w:szCs w:val="22"/>
              </w:rPr>
              <w:t>302</w:t>
            </w:r>
          </w:p>
        </w:tc>
      </w:tr>
      <w:tr w:rsidR="00686C97" w:rsidRPr="00486433" w14:paraId="59F1C986" w14:textId="77777777" w:rsidTr="43045F28">
        <w:trPr>
          <w:cantSplit/>
        </w:trPr>
        <w:tc>
          <w:tcPr>
            <w:tcW w:w="5598" w:type="dxa"/>
            <w:vAlign w:val="center"/>
          </w:tcPr>
          <w:p w14:paraId="045C407B" w14:textId="77777777" w:rsidR="00686C97" w:rsidRPr="00486433" w:rsidRDefault="43045F28" w:rsidP="00686C97">
            <w:r w:rsidRPr="43045F28">
              <w:rPr>
                <w:rFonts w:asciiTheme="minorHAnsi" w:eastAsiaTheme="minorEastAsia" w:hAnsiTheme="minorHAnsi" w:cstheme="minorBidi"/>
                <w:color w:val="000000" w:themeColor="text1"/>
                <w:sz w:val="22"/>
                <w:szCs w:val="22"/>
              </w:rPr>
              <w:t>Commerce and Consumer Affairs</w:t>
            </w:r>
          </w:p>
        </w:tc>
        <w:tc>
          <w:tcPr>
            <w:tcW w:w="3060" w:type="dxa"/>
            <w:vAlign w:val="center"/>
          </w:tcPr>
          <w:p w14:paraId="622253B2" w14:textId="77777777" w:rsidR="00686C97" w:rsidRPr="00486433" w:rsidRDefault="43045F28" w:rsidP="00686C97">
            <w:pPr>
              <w:jc w:val="right"/>
            </w:pPr>
            <w:r w:rsidRPr="43045F28">
              <w:rPr>
                <w:rFonts w:asciiTheme="minorHAnsi" w:eastAsiaTheme="minorEastAsia" w:hAnsiTheme="minorHAnsi" w:cstheme="minorBidi"/>
                <w:color w:val="000000" w:themeColor="text1"/>
                <w:sz w:val="22"/>
                <w:szCs w:val="22"/>
              </w:rPr>
              <w:t>437</w:t>
            </w:r>
          </w:p>
        </w:tc>
      </w:tr>
      <w:tr w:rsidR="00686C97" w:rsidRPr="00486433" w14:paraId="464292F4" w14:textId="77777777" w:rsidTr="43045F28">
        <w:trPr>
          <w:cantSplit/>
        </w:trPr>
        <w:tc>
          <w:tcPr>
            <w:tcW w:w="5598" w:type="dxa"/>
            <w:vAlign w:val="center"/>
          </w:tcPr>
          <w:p w14:paraId="2BCD0F2B" w14:textId="77777777" w:rsidR="00686C97" w:rsidRPr="00486433" w:rsidRDefault="43045F28" w:rsidP="00686C97">
            <w:r w:rsidRPr="43045F28">
              <w:rPr>
                <w:rFonts w:asciiTheme="minorHAnsi" w:eastAsiaTheme="minorEastAsia" w:hAnsiTheme="minorHAnsi" w:cstheme="minorBidi"/>
                <w:color w:val="000000" w:themeColor="text1"/>
                <w:sz w:val="22"/>
                <w:szCs w:val="22"/>
              </w:rPr>
              <w:t>Defense</w:t>
            </w:r>
          </w:p>
        </w:tc>
        <w:tc>
          <w:tcPr>
            <w:tcW w:w="3060" w:type="dxa"/>
            <w:vAlign w:val="center"/>
          </w:tcPr>
          <w:p w14:paraId="74CBB744" w14:textId="77777777" w:rsidR="00686C97" w:rsidRPr="00486433" w:rsidRDefault="43045F28" w:rsidP="00686C97">
            <w:pPr>
              <w:jc w:val="right"/>
            </w:pPr>
            <w:r w:rsidRPr="43045F28">
              <w:rPr>
                <w:rFonts w:asciiTheme="minorHAnsi" w:eastAsiaTheme="minorEastAsia" w:hAnsiTheme="minorHAnsi" w:cstheme="minorBidi"/>
                <w:color w:val="000000" w:themeColor="text1"/>
                <w:sz w:val="22"/>
                <w:szCs w:val="22"/>
              </w:rPr>
              <w:t>449</w:t>
            </w:r>
          </w:p>
        </w:tc>
      </w:tr>
      <w:tr w:rsidR="00686C97" w:rsidRPr="00486433" w14:paraId="684D90A3" w14:textId="77777777" w:rsidTr="43045F28">
        <w:trPr>
          <w:cantSplit/>
        </w:trPr>
        <w:tc>
          <w:tcPr>
            <w:tcW w:w="5598" w:type="dxa"/>
            <w:vAlign w:val="center"/>
          </w:tcPr>
          <w:p w14:paraId="030C802C" w14:textId="77777777" w:rsidR="00686C97" w:rsidRPr="00486433" w:rsidRDefault="43045F28" w:rsidP="00686C97">
            <w:r w:rsidRPr="43045F28">
              <w:rPr>
                <w:rFonts w:asciiTheme="minorHAnsi" w:eastAsiaTheme="minorEastAsia" w:hAnsiTheme="minorHAnsi" w:cstheme="minorBidi"/>
                <w:color w:val="000000" w:themeColor="text1"/>
                <w:sz w:val="22"/>
                <w:szCs w:val="22"/>
              </w:rPr>
              <w:t>DOE</w:t>
            </w:r>
          </w:p>
        </w:tc>
        <w:tc>
          <w:tcPr>
            <w:tcW w:w="3060" w:type="dxa"/>
            <w:vAlign w:val="center"/>
          </w:tcPr>
          <w:p w14:paraId="119DD02F" w14:textId="77777777" w:rsidR="00686C97" w:rsidRPr="00486433" w:rsidRDefault="43045F28" w:rsidP="00686C97">
            <w:pPr>
              <w:jc w:val="right"/>
            </w:pPr>
            <w:r w:rsidRPr="43045F28">
              <w:rPr>
                <w:rFonts w:asciiTheme="minorHAnsi" w:eastAsiaTheme="minorEastAsia" w:hAnsiTheme="minorHAnsi" w:cstheme="minorBidi"/>
                <w:color w:val="000000" w:themeColor="text1"/>
                <w:sz w:val="22"/>
                <w:szCs w:val="22"/>
              </w:rPr>
              <w:t>22,649 salaried</w:t>
            </w:r>
          </w:p>
          <w:p w14:paraId="6E485764" w14:textId="56585116" w:rsidR="00686C97" w:rsidRPr="00486433" w:rsidRDefault="43045F28" w:rsidP="00B6337D">
            <w:pPr>
              <w:jc w:val="right"/>
            </w:pPr>
            <w:r w:rsidRPr="43045F28">
              <w:rPr>
                <w:rFonts w:asciiTheme="minorHAnsi" w:eastAsiaTheme="minorEastAsia" w:hAnsiTheme="minorHAnsi" w:cstheme="minorBidi"/>
                <w:color w:val="000000" w:themeColor="text1"/>
                <w:sz w:val="22"/>
                <w:szCs w:val="22"/>
              </w:rPr>
              <w:t>22</w:t>
            </w:r>
            <w:r w:rsidR="00B6337D">
              <w:rPr>
                <w:rFonts w:asciiTheme="minorHAnsi" w:eastAsiaTheme="minorEastAsia" w:hAnsiTheme="minorHAnsi" w:cstheme="minorBidi"/>
                <w:color w:val="000000" w:themeColor="text1"/>
                <w:sz w:val="22"/>
                <w:szCs w:val="22"/>
              </w:rPr>
              <w:t>,</w:t>
            </w:r>
            <w:r w:rsidRPr="43045F28">
              <w:rPr>
                <w:rFonts w:asciiTheme="minorHAnsi" w:eastAsiaTheme="minorEastAsia" w:hAnsiTheme="minorHAnsi" w:cstheme="minorBidi"/>
                <w:color w:val="000000" w:themeColor="text1"/>
                <w:sz w:val="22"/>
                <w:szCs w:val="22"/>
              </w:rPr>
              <w:t>621 casuals</w:t>
            </w:r>
          </w:p>
        </w:tc>
      </w:tr>
      <w:tr w:rsidR="00686C97" w:rsidRPr="00486433" w14:paraId="02050880" w14:textId="77777777" w:rsidTr="43045F28">
        <w:trPr>
          <w:cantSplit/>
        </w:trPr>
        <w:tc>
          <w:tcPr>
            <w:tcW w:w="5598" w:type="dxa"/>
            <w:vAlign w:val="center"/>
          </w:tcPr>
          <w:p w14:paraId="02B29A0E" w14:textId="77777777" w:rsidR="00686C97" w:rsidRPr="00486433" w:rsidRDefault="43045F28" w:rsidP="00686C97">
            <w:r w:rsidRPr="43045F28">
              <w:rPr>
                <w:rFonts w:asciiTheme="minorHAnsi" w:eastAsiaTheme="minorEastAsia" w:hAnsiTheme="minorHAnsi" w:cstheme="minorBidi"/>
                <w:color w:val="000000" w:themeColor="text1"/>
                <w:sz w:val="22"/>
                <w:szCs w:val="22"/>
              </w:rPr>
              <w:t>Office of the Governor/Lt. Governor</w:t>
            </w:r>
          </w:p>
        </w:tc>
        <w:tc>
          <w:tcPr>
            <w:tcW w:w="3060" w:type="dxa"/>
            <w:vAlign w:val="center"/>
          </w:tcPr>
          <w:p w14:paraId="18CCC096" w14:textId="77777777" w:rsidR="00686C97" w:rsidRPr="00486433" w:rsidRDefault="43045F28" w:rsidP="00686C97">
            <w:pPr>
              <w:jc w:val="right"/>
            </w:pPr>
            <w:r w:rsidRPr="43045F28">
              <w:rPr>
                <w:rFonts w:asciiTheme="minorHAnsi" w:eastAsiaTheme="minorEastAsia" w:hAnsiTheme="minorHAnsi" w:cstheme="minorBidi"/>
                <w:color w:val="000000" w:themeColor="text1"/>
                <w:sz w:val="22"/>
                <w:szCs w:val="22"/>
              </w:rPr>
              <w:t>50</w:t>
            </w:r>
          </w:p>
        </w:tc>
      </w:tr>
      <w:tr w:rsidR="00686C97" w:rsidRPr="00486433" w14:paraId="4B8F9CA9" w14:textId="77777777" w:rsidTr="43045F28">
        <w:trPr>
          <w:cantSplit/>
        </w:trPr>
        <w:tc>
          <w:tcPr>
            <w:tcW w:w="5598" w:type="dxa"/>
            <w:vAlign w:val="center"/>
          </w:tcPr>
          <w:p w14:paraId="1623BDFD" w14:textId="77777777" w:rsidR="00686C97" w:rsidRPr="00486433" w:rsidRDefault="43045F28" w:rsidP="00686C97">
            <w:r w:rsidRPr="43045F28">
              <w:rPr>
                <w:rFonts w:asciiTheme="minorHAnsi" w:eastAsiaTheme="minorEastAsia" w:hAnsiTheme="minorHAnsi" w:cstheme="minorBidi"/>
                <w:color w:val="000000" w:themeColor="text1"/>
                <w:sz w:val="22"/>
                <w:szCs w:val="22"/>
              </w:rPr>
              <w:t>Hawaiian Home Lands</w:t>
            </w:r>
          </w:p>
        </w:tc>
        <w:tc>
          <w:tcPr>
            <w:tcW w:w="3060" w:type="dxa"/>
            <w:vAlign w:val="center"/>
          </w:tcPr>
          <w:p w14:paraId="743C622F" w14:textId="77777777" w:rsidR="00686C97" w:rsidRPr="00486433" w:rsidRDefault="43045F28" w:rsidP="00686C97">
            <w:pPr>
              <w:jc w:val="right"/>
            </w:pPr>
            <w:r w:rsidRPr="43045F28">
              <w:rPr>
                <w:rFonts w:asciiTheme="minorHAnsi" w:eastAsiaTheme="minorEastAsia" w:hAnsiTheme="minorHAnsi" w:cstheme="minorBidi"/>
                <w:color w:val="000000" w:themeColor="text1"/>
                <w:sz w:val="22"/>
                <w:szCs w:val="22"/>
              </w:rPr>
              <w:t>211</w:t>
            </w:r>
          </w:p>
        </w:tc>
      </w:tr>
      <w:tr w:rsidR="00686C97" w:rsidRPr="00486433" w14:paraId="1B57E6AC" w14:textId="77777777" w:rsidTr="43045F28">
        <w:trPr>
          <w:cantSplit/>
        </w:trPr>
        <w:tc>
          <w:tcPr>
            <w:tcW w:w="5598" w:type="dxa"/>
            <w:vAlign w:val="center"/>
          </w:tcPr>
          <w:p w14:paraId="5F79D556" w14:textId="77777777" w:rsidR="00686C97" w:rsidRPr="00486433" w:rsidRDefault="43045F28" w:rsidP="00686C97">
            <w:r w:rsidRPr="43045F28">
              <w:rPr>
                <w:rFonts w:asciiTheme="minorHAnsi" w:eastAsiaTheme="minorEastAsia" w:hAnsiTheme="minorHAnsi" w:cstheme="minorBidi"/>
                <w:color w:val="000000" w:themeColor="text1"/>
                <w:sz w:val="22"/>
                <w:szCs w:val="22"/>
              </w:rPr>
              <w:t>Health</w:t>
            </w:r>
          </w:p>
        </w:tc>
        <w:tc>
          <w:tcPr>
            <w:tcW w:w="3060" w:type="dxa"/>
            <w:vAlign w:val="center"/>
          </w:tcPr>
          <w:p w14:paraId="5FFA2B31" w14:textId="77777777" w:rsidR="00686C97" w:rsidRPr="00486433" w:rsidRDefault="43045F28" w:rsidP="00686C97">
            <w:pPr>
              <w:jc w:val="right"/>
            </w:pPr>
            <w:r w:rsidRPr="43045F28">
              <w:rPr>
                <w:rFonts w:asciiTheme="minorHAnsi" w:eastAsiaTheme="minorEastAsia" w:hAnsiTheme="minorHAnsi" w:cstheme="minorBidi"/>
                <w:color w:val="000000" w:themeColor="text1"/>
                <w:sz w:val="22"/>
                <w:szCs w:val="22"/>
              </w:rPr>
              <w:t>2605</w:t>
            </w:r>
          </w:p>
        </w:tc>
      </w:tr>
      <w:tr w:rsidR="00686C97" w:rsidRPr="00486433" w14:paraId="6AB48A6A" w14:textId="77777777" w:rsidTr="43045F28">
        <w:trPr>
          <w:cantSplit/>
        </w:trPr>
        <w:tc>
          <w:tcPr>
            <w:tcW w:w="5598" w:type="dxa"/>
            <w:vAlign w:val="center"/>
          </w:tcPr>
          <w:p w14:paraId="16390F3B" w14:textId="77777777" w:rsidR="00686C97" w:rsidRPr="00486433" w:rsidRDefault="43045F28" w:rsidP="00686C97">
            <w:r w:rsidRPr="43045F28">
              <w:rPr>
                <w:rFonts w:asciiTheme="minorHAnsi" w:eastAsiaTheme="minorEastAsia" w:hAnsiTheme="minorHAnsi" w:cstheme="minorBidi"/>
                <w:color w:val="000000" w:themeColor="text1"/>
                <w:sz w:val="22"/>
                <w:szCs w:val="22"/>
              </w:rPr>
              <w:t>Human Services</w:t>
            </w:r>
          </w:p>
        </w:tc>
        <w:tc>
          <w:tcPr>
            <w:tcW w:w="3060" w:type="dxa"/>
            <w:vAlign w:val="center"/>
          </w:tcPr>
          <w:p w14:paraId="260A0D7F" w14:textId="77777777" w:rsidR="00686C97" w:rsidRPr="00486433" w:rsidRDefault="43045F28" w:rsidP="00686C97">
            <w:pPr>
              <w:jc w:val="right"/>
            </w:pPr>
            <w:r w:rsidRPr="43045F28">
              <w:rPr>
                <w:rFonts w:asciiTheme="minorHAnsi" w:eastAsiaTheme="minorEastAsia" w:hAnsiTheme="minorHAnsi" w:cstheme="minorBidi"/>
                <w:color w:val="000000" w:themeColor="text1"/>
                <w:sz w:val="22"/>
                <w:szCs w:val="22"/>
              </w:rPr>
              <w:t>2318</w:t>
            </w:r>
          </w:p>
        </w:tc>
      </w:tr>
      <w:tr w:rsidR="00686C97" w:rsidRPr="00486433" w14:paraId="1FF455AD" w14:textId="77777777" w:rsidTr="43045F28">
        <w:trPr>
          <w:cantSplit/>
        </w:trPr>
        <w:tc>
          <w:tcPr>
            <w:tcW w:w="5598" w:type="dxa"/>
            <w:vAlign w:val="center"/>
          </w:tcPr>
          <w:p w14:paraId="2B2EF713" w14:textId="77777777" w:rsidR="00686C97" w:rsidRPr="00486433" w:rsidRDefault="43045F28" w:rsidP="00686C97">
            <w:r w:rsidRPr="43045F28">
              <w:rPr>
                <w:rFonts w:asciiTheme="minorHAnsi" w:eastAsiaTheme="minorEastAsia" w:hAnsiTheme="minorHAnsi" w:cstheme="minorBidi"/>
                <w:color w:val="000000" w:themeColor="text1"/>
                <w:sz w:val="22"/>
                <w:szCs w:val="22"/>
              </w:rPr>
              <w:t>Labor and Industrial Resources</w:t>
            </w:r>
          </w:p>
        </w:tc>
        <w:tc>
          <w:tcPr>
            <w:tcW w:w="3060" w:type="dxa"/>
            <w:vAlign w:val="center"/>
          </w:tcPr>
          <w:p w14:paraId="43C96354" w14:textId="77777777" w:rsidR="00686C97" w:rsidRPr="00486433" w:rsidRDefault="43045F28" w:rsidP="00686C97">
            <w:pPr>
              <w:jc w:val="right"/>
            </w:pPr>
            <w:r w:rsidRPr="43045F28">
              <w:rPr>
                <w:rFonts w:asciiTheme="minorHAnsi" w:eastAsiaTheme="minorEastAsia" w:hAnsiTheme="minorHAnsi" w:cstheme="minorBidi"/>
                <w:color w:val="000000" w:themeColor="text1"/>
                <w:sz w:val="22"/>
                <w:szCs w:val="22"/>
              </w:rPr>
              <w:t>861</w:t>
            </w:r>
          </w:p>
        </w:tc>
      </w:tr>
      <w:tr w:rsidR="00686C97" w:rsidRPr="00486433" w14:paraId="50596899" w14:textId="77777777" w:rsidTr="43045F28">
        <w:trPr>
          <w:cantSplit/>
        </w:trPr>
        <w:tc>
          <w:tcPr>
            <w:tcW w:w="5598" w:type="dxa"/>
            <w:vAlign w:val="center"/>
          </w:tcPr>
          <w:p w14:paraId="7B877E3F" w14:textId="77777777" w:rsidR="00686C97" w:rsidRPr="00486433" w:rsidRDefault="43045F28" w:rsidP="00686C97">
            <w:r w:rsidRPr="43045F28">
              <w:rPr>
                <w:rFonts w:asciiTheme="minorHAnsi" w:eastAsiaTheme="minorEastAsia" w:hAnsiTheme="minorHAnsi" w:cstheme="minorBidi"/>
                <w:color w:val="000000" w:themeColor="text1"/>
                <w:sz w:val="22"/>
                <w:szCs w:val="22"/>
              </w:rPr>
              <w:t>Land and Natural Resources</w:t>
            </w:r>
          </w:p>
        </w:tc>
        <w:tc>
          <w:tcPr>
            <w:tcW w:w="3060" w:type="dxa"/>
            <w:vAlign w:val="center"/>
          </w:tcPr>
          <w:p w14:paraId="18034421" w14:textId="77777777" w:rsidR="00686C97" w:rsidRPr="00486433" w:rsidRDefault="43045F28" w:rsidP="00686C97">
            <w:pPr>
              <w:jc w:val="right"/>
            </w:pPr>
            <w:r w:rsidRPr="43045F28">
              <w:rPr>
                <w:rFonts w:asciiTheme="minorHAnsi" w:eastAsiaTheme="minorEastAsia" w:hAnsiTheme="minorHAnsi" w:cstheme="minorBidi"/>
                <w:color w:val="000000" w:themeColor="text1"/>
                <w:sz w:val="22"/>
                <w:szCs w:val="22"/>
              </w:rPr>
              <w:t>852</w:t>
            </w:r>
          </w:p>
        </w:tc>
      </w:tr>
      <w:tr w:rsidR="00686C97" w:rsidRPr="00486433" w14:paraId="211D3BE3" w14:textId="77777777" w:rsidTr="43045F28">
        <w:trPr>
          <w:cantSplit/>
        </w:trPr>
        <w:tc>
          <w:tcPr>
            <w:tcW w:w="5598" w:type="dxa"/>
            <w:vAlign w:val="center"/>
          </w:tcPr>
          <w:p w14:paraId="110EA1C8" w14:textId="77777777" w:rsidR="00686C97" w:rsidRPr="00486433" w:rsidRDefault="43045F28" w:rsidP="00686C97">
            <w:r w:rsidRPr="43045F28">
              <w:rPr>
                <w:rFonts w:asciiTheme="minorHAnsi" w:eastAsiaTheme="minorEastAsia" w:hAnsiTheme="minorHAnsi" w:cstheme="minorBidi"/>
                <w:color w:val="000000" w:themeColor="text1"/>
                <w:sz w:val="22"/>
                <w:szCs w:val="22"/>
              </w:rPr>
              <w:t>Public Safety</w:t>
            </w:r>
          </w:p>
        </w:tc>
        <w:tc>
          <w:tcPr>
            <w:tcW w:w="3060" w:type="dxa"/>
            <w:vAlign w:val="center"/>
          </w:tcPr>
          <w:p w14:paraId="79613438" w14:textId="77777777" w:rsidR="00686C97" w:rsidRPr="00486433" w:rsidRDefault="43045F28" w:rsidP="00686C97">
            <w:pPr>
              <w:jc w:val="right"/>
            </w:pPr>
            <w:r w:rsidRPr="43045F28">
              <w:rPr>
                <w:rFonts w:asciiTheme="minorHAnsi" w:eastAsiaTheme="minorEastAsia" w:hAnsiTheme="minorHAnsi" w:cstheme="minorBidi"/>
                <w:color w:val="000000" w:themeColor="text1"/>
                <w:sz w:val="22"/>
                <w:szCs w:val="22"/>
              </w:rPr>
              <w:t>2631</w:t>
            </w:r>
          </w:p>
        </w:tc>
      </w:tr>
      <w:tr w:rsidR="00686C97" w:rsidRPr="00486433" w14:paraId="66FCE7FF" w14:textId="77777777" w:rsidTr="43045F28">
        <w:trPr>
          <w:cantSplit/>
        </w:trPr>
        <w:tc>
          <w:tcPr>
            <w:tcW w:w="5598" w:type="dxa"/>
            <w:vAlign w:val="center"/>
          </w:tcPr>
          <w:p w14:paraId="798F2A89" w14:textId="77777777" w:rsidR="00686C97" w:rsidRPr="00486433" w:rsidRDefault="43045F28" w:rsidP="00686C97">
            <w:r w:rsidRPr="43045F28">
              <w:rPr>
                <w:rFonts w:asciiTheme="minorHAnsi" w:eastAsiaTheme="minorEastAsia" w:hAnsiTheme="minorHAnsi" w:cstheme="minorBidi"/>
                <w:color w:val="000000" w:themeColor="text1"/>
                <w:sz w:val="22"/>
                <w:szCs w:val="22"/>
              </w:rPr>
              <w:t>Taxation</w:t>
            </w:r>
          </w:p>
        </w:tc>
        <w:tc>
          <w:tcPr>
            <w:tcW w:w="3060" w:type="dxa"/>
            <w:vAlign w:val="center"/>
          </w:tcPr>
          <w:p w14:paraId="045FB705" w14:textId="77777777" w:rsidR="00686C97" w:rsidRPr="00486433" w:rsidRDefault="43045F28" w:rsidP="00686C97">
            <w:pPr>
              <w:jc w:val="right"/>
            </w:pPr>
            <w:r w:rsidRPr="43045F28">
              <w:rPr>
                <w:rFonts w:asciiTheme="minorHAnsi" w:eastAsiaTheme="minorEastAsia" w:hAnsiTheme="minorHAnsi" w:cstheme="minorBidi"/>
                <w:color w:val="000000" w:themeColor="text1"/>
                <w:sz w:val="22"/>
                <w:szCs w:val="22"/>
              </w:rPr>
              <w:t>521</w:t>
            </w:r>
          </w:p>
        </w:tc>
      </w:tr>
      <w:tr w:rsidR="00686C97" w:rsidRPr="00486433" w14:paraId="4A0F2A08" w14:textId="77777777" w:rsidTr="43045F28">
        <w:trPr>
          <w:cantSplit/>
          <w:trHeight w:val="557"/>
        </w:trPr>
        <w:tc>
          <w:tcPr>
            <w:tcW w:w="5598" w:type="dxa"/>
            <w:vAlign w:val="center"/>
          </w:tcPr>
          <w:p w14:paraId="0F5D0FC9" w14:textId="77777777" w:rsidR="00686C97" w:rsidRPr="00486433" w:rsidRDefault="43045F28" w:rsidP="00686C97">
            <w:r w:rsidRPr="43045F28">
              <w:rPr>
                <w:rFonts w:asciiTheme="minorHAnsi" w:eastAsiaTheme="minorEastAsia" w:hAnsiTheme="minorHAnsi" w:cstheme="minorBidi"/>
                <w:color w:val="000000" w:themeColor="text1"/>
                <w:sz w:val="22"/>
                <w:szCs w:val="22"/>
              </w:rPr>
              <w:t>Transportation – Airports, Harbors, Highways &amp; Administration</w:t>
            </w:r>
          </w:p>
        </w:tc>
        <w:tc>
          <w:tcPr>
            <w:tcW w:w="3060" w:type="dxa"/>
            <w:vAlign w:val="center"/>
          </w:tcPr>
          <w:p w14:paraId="003345F3" w14:textId="77777777" w:rsidR="00686C97" w:rsidRPr="00486433" w:rsidRDefault="43045F28" w:rsidP="00686C97">
            <w:pPr>
              <w:jc w:val="right"/>
            </w:pPr>
            <w:r w:rsidRPr="43045F28">
              <w:rPr>
                <w:rFonts w:asciiTheme="minorHAnsi" w:eastAsiaTheme="minorEastAsia" w:hAnsiTheme="minorHAnsi" w:cstheme="minorBidi"/>
                <w:color w:val="000000" w:themeColor="text1"/>
                <w:sz w:val="22"/>
                <w:szCs w:val="22"/>
              </w:rPr>
              <w:t>2182</w:t>
            </w:r>
          </w:p>
        </w:tc>
      </w:tr>
      <w:tr w:rsidR="00686C97" w:rsidRPr="00486433" w14:paraId="6C7317C3" w14:textId="77777777" w:rsidTr="43045F28">
        <w:trPr>
          <w:cantSplit/>
          <w:trHeight w:val="557"/>
        </w:trPr>
        <w:tc>
          <w:tcPr>
            <w:tcW w:w="5598" w:type="dxa"/>
            <w:vAlign w:val="center"/>
          </w:tcPr>
          <w:p w14:paraId="42CC5BEF" w14:textId="77777777" w:rsidR="00686C97" w:rsidRPr="00486433" w:rsidRDefault="43045F28" w:rsidP="00686C97">
            <w:r w:rsidRPr="43045F28">
              <w:rPr>
                <w:rFonts w:asciiTheme="minorHAnsi" w:eastAsiaTheme="minorEastAsia" w:hAnsiTheme="minorHAnsi" w:cstheme="minorBidi"/>
                <w:color w:val="000000" w:themeColor="text1"/>
                <w:sz w:val="22"/>
                <w:szCs w:val="22"/>
              </w:rPr>
              <w:t>Libraries</w:t>
            </w:r>
          </w:p>
        </w:tc>
        <w:tc>
          <w:tcPr>
            <w:tcW w:w="3060" w:type="dxa"/>
            <w:vAlign w:val="center"/>
          </w:tcPr>
          <w:p w14:paraId="34EFBEAF" w14:textId="77777777" w:rsidR="00686C97" w:rsidRPr="00486433" w:rsidRDefault="43045F28" w:rsidP="00686C97">
            <w:pPr>
              <w:jc w:val="right"/>
            </w:pPr>
            <w:r w:rsidRPr="43045F28">
              <w:rPr>
                <w:rFonts w:asciiTheme="minorHAnsi" w:eastAsiaTheme="minorEastAsia" w:hAnsiTheme="minorHAnsi" w:cstheme="minorBidi"/>
                <w:color w:val="000000" w:themeColor="text1"/>
                <w:sz w:val="22"/>
                <w:szCs w:val="22"/>
              </w:rPr>
              <w:t>604</w:t>
            </w:r>
          </w:p>
        </w:tc>
      </w:tr>
      <w:tr w:rsidR="00686C97" w14:paraId="0216A637" w14:textId="77777777" w:rsidTr="43045F28">
        <w:trPr>
          <w:cantSplit/>
        </w:trPr>
        <w:tc>
          <w:tcPr>
            <w:tcW w:w="5598" w:type="dxa"/>
            <w:vAlign w:val="center"/>
          </w:tcPr>
          <w:p w14:paraId="16638C07" w14:textId="77777777" w:rsidR="00686C97" w:rsidRPr="00486433" w:rsidRDefault="43045F28" w:rsidP="00686C97">
            <w:pPr>
              <w:rPr>
                <w:b/>
              </w:rPr>
            </w:pPr>
            <w:r w:rsidRPr="43045F28">
              <w:rPr>
                <w:rFonts w:asciiTheme="minorHAnsi" w:eastAsiaTheme="minorEastAsia" w:hAnsiTheme="minorHAnsi" w:cstheme="minorBidi"/>
                <w:b/>
                <w:bCs/>
                <w:color w:val="000000" w:themeColor="text1"/>
                <w:sz w:val="22"/>
                <w:szCs w:val="22"/>
              </w:rPr>
              <w:t>TOTAL EMPLOYEES (excluding applicants and casuals)</w:t>
            </w:r>
          </w:p>
        </w:tc>
        <w:tc>
          <w:tcPr>
            <w:tcW w:w="3060" w:type="dxa"/>
            <w:shd w:val="clear" w:color="auto" w:fill="auto"/>
            <w:vAlign w:val="center"/>
          </w:tcPr>
          <w:p w14:paraId="03FFA983" w14:textId="77777777" w:rsidR="00686C97" w:rsidRPr="00486433" w:rsidRDefault="43045F28" w:rsidP="00686C97">
            <w:pPr>
              <w:jc w:val="right"/>
              <w:rPr>
                <w:b/>
              </w:rPr>
            </w:pPr>
            <w:r w:rsidRPr="43045F28">
              <w:rPr>
                <w:rFonts w:asciiTheme="minorHAnsi" w:eastAsiaTheme="minorEastAsia" w:hAnsiTheme="minorHAnsi" w:cstheme="minorBidi"/>
                <w:b/>
                <w:bCs/>
                <w:color w:val="000000" w:themeColor="text1"/>
                <w:sz w:val="22"/>
                <w:szCs w:val="22"/>
              </w:rPr>
              <w:t>39,006</w:t>
            </w:r>
          </w:p>
        </w:tc>
      </w:tr>
    </w:tbl>
    <w:p w14:paraId="39F3321F" w14:textId="77777777" w:rsidR="00686C97" w:rsidRPr="007B7C3F" w:rsidRDefault="00686C97" w:rsidP="00686C97"/>
    <w:p w14:paraId="78612AE8" w14:textId="77777777" w:rsidR="00686C97" w:rsidRPr="00686C97" w:rsidRDefault="43045F28" w:rsidP="00686C97">
      <w:pPr>
        <w:pStyle w:val="ListParagraph"/>
        <w:spacing w:after="0"/>
        <w:rPr>
          <w:rFonts w:ascii="Arial" w:eastAsia="Arial" w:hAnsi="Arial" w:cs="Arial"/>
        </w:rPr>
      </w:pPr>
      <w:r w:rsidRPr="43045F28">
        <w:rPr>
          <w:rFonts w:eastAsiaTheme="minorEastAsia"/>
          <w:color w:val="000000" w:themeColor="text1"/>
        </w:rPr>
        <w:t>Has Been Revised to Read</w:t>
      </w:r>
    </w:p>
    <w:p w14:paraId="5620AC53" w14:textId="55DF221A" w:rsidR="00686C97" w:rsidRPr="00486433" w:rsidRDefault="43045F28" w:rsidP="00686C97">
      <w:pPr>
        <w:spacing w:after="0"/>
        <w:ind w:left="720"/>
        <w:rPr>
          <w:i/>
        </w:rPr>
      </w:pPr>
      <w:r w:rsidRPr="43045F28">
        <w:rPr>
          <w:rFonts w:eastAsiaTheme="minorEastAsia"/>
          <w:color w:val="000000" w:themeColor="text1"/>
        </w:rPr>
        <w:t>The State anticipates that all employees (i.e., DAGS Payroll in Table 1) will require some self-service functionality (e.g., pay statement distribution, time entry, etc.) across all modules.  Specific functionality regarding self-service is detailed in “Appendix C-1 and C-2, Payroll and Time &amp; Attendance Requirements.”</w:t>
      </w:r>
    </w:p>
    <w:p w14:paraId="28E36D42" w14:textId="77777777" w:rsidR="00686C97" w:rsidRDefault="00686C97" w:rsidP="00686C97">
      <w:pPr>
        <w:ind w:left="360"/>
      </w:pPr>
    </w:p>
    <w:p w14:paraId="1EA61AC9" w14:textId="69EE7875" w:rsidR="00686C97" w:rsidRDefault="00686C97" w:rsidP="00686C97">
      <w:pPr>
        <w:ind w:left="360"/>
      </w:pPr>
      <w:r>
        <w:tab/>
      </w:r>
      <w:r w:rsidRPr="43045F28">
        <w:rPr>
          <w:rFonts w:eastAsiaTheme="minorEastAsia"/>
          <w:color w:val="000000" w:themeColor="text1"/>
        </w:rPr>
        <w:t>[Table 3</w:t>
      </w:r>
      <w:r w:rsidR="00EF645F" w:rsidRPr="43045F28">
        <w:rPr>
          <w:rFonts w:eastAsiaTheme="minorEastAsia"/>
          <w:color w:val="000000" w:themeColor="text1"/>
        </w:rPr>
        <w:t>,</w:t>
      </w:r>
      <w:r w:rsidRPr="43045F28">
        <w:rPr>
          <w:rFonts w:eastAsiaTheme="minorEastAsia"/>
          <w:color w:val="000000" w:themeColor="text1"/>
        </w:rPr>
        <w:t xml:space="preserve"> Anticipated Number of Self-Service End Users] has been deleted.</w:t>
      </w:r>
    </w:p>
    <w:p w14:paraId="16514E40" w14:textId="77777777" w:rsidR="00686C97" w:rsidRPr="00686C97" w:rsidRDefault="00686C97" w:rsidP="00BF03B3">
      <w:pPr>
        <w:spacing w:after="0"/>
        <w:ind w:left="360"/>
      </w:pPr>
    </w:p>
    <w:p w14:paraId="65412AB4" w14:textId="10F10192" w:rsidR="005F7788" w:rsidRPr="00D35BE4" w:rsidRDefault="43045F28" w:rsidP="43045F28">
      <w:pPr>
        <w:pStyle w:val="ListParagraph"/>
        <w:numPr>
          <w:ilvl w:val="0"/>
          <w:numId w:val="1"/>
        </w:numPr>
        <w:rPr>
          <w:rFonts w:eastAsiaTheme="minorEastAsia"/>
          <w:color w:val="000000" w:themeColor="text1"/>
        </w:rPr>
      </w:pPr>
      <w:r w:rsidRPr="43045F28">
        <w:rPr>
          <w:rFonts w:eastAsiaTheme="minorEastAsia"/>
          <w:color w:val="000000" w:themeColor="text1"/>
        </w:rPr>
        <w:t>Answers to Follow-up and New Questions:</w:t>
      </w:r>
      <w:r w:rsidR="00F04E6B">
        <w:rPr>
          <w:rFonts w:eastAsiaTheme="minorEastAsia"/>
          <w:color w:val="000000" w:themeColor="text1"/>
        </w:rPr>
        <w:br/>
      </w:r>
      <w:r w:rsidR="00F04E6B">
        <w:rPr>
          <w:rFonts w:eastAsiaTheme="minorEastAsia"/>
          <w:color w:val="000000" w:themeColor="text1"/>
        </w:rPr>
        <w:br/>
      </w:r>
      <w:r w:rsidR="00F04E6B">
        <w:rPr>
          <w:rFonts w:eastAsiaTheme="minorEastAsia"/>
          <w:color w:val="000000" w:themeColor="text1"/>
        </w:rPr>
        <w:br/>
      </w:r>
      <w:r w:rsidR="00F04E6B">
        <w:rPr>
          <w:rFonts w:eastAsiaTheme="minorEastAsia"/>
          <w:color w:val="000000" w:themeColor="text1"/>
        </w:rPr>
        <w:br/>
      </w:r>
    </w:p>
    <w:tbl>
      <w:tblPr>
        <w:tblStyle w:val="TableGrid"/>
        <w:tblW w:w="11952" w:type="dxa"/>
        <w:tblInd w:w="-1301" w:type="dxa"/>
        <w:tblLayout w:type="fixed"/>
        <w:tblLook w:val="04A0" w:firstRow="1" w:lastRow="0" w:firstColumn="1" w:lastColumn="0" w:noHBand="0" w:noVBand="1"/>
      </w:tblPr>
      <w:tblGrid>
        <w:gridCol w:w="576"/>
        <w:gridCol w:w="1428"/>
        <w:gridCol w:w="2532"/>
        <w:gridCol w:w="2520"/>
        <w:gridCol w:w="2564"/>
        <w:gridCol w:w="2332"/>
      </w:tblGrid>
      <w:tr w:rsidR="00F04E6B" w14:paraId="30E50483" w14:textId="77777777" w:rsidTr="00BE4AD8">
        <w:tc>
          <w:tcPr>
            <w:tcW w:w="576" w:type="dxa"/>
          </w:tcPr>
          <w:p w14:paraId="53DC6C63" w14:textId="40ECD502" w:rsidR="00F04E6B" w:rsidRPr="00F04E6B" w:rsidRDefault="00F04E6B" w:rsidP="00F04E6B">
            <w:pPr>
              <w:ind w:left="360" w:hanging="408"/>
              <w:rPr>
                <w:rFonts w:asciiTheme="minorHAnsi" w:eastAsiaTheme="minorEastAsia" w:hAnsiTheme="minorHAnsi"/>
                <w:color w:val="000000" w:themeColor="text1"/>
                <w:sz w:val="28"/>
                <w:szCs w:val="28"/>
              </w:rPr>
            </w:pPr>
            <w:r w:rsidRPr="00F04E6B">
              <w:rPr>
                <w:rFonts w:asciiTheme="minorHAnsi" w:hAnsiTheme="minorHAnsi"/>
                <w:b/>
                <w:bCs/>
                <w:sz w:val="28"/>
                <w:szCs w:val="28"/>
              </w:rPr>
              <w:lastRenderedPageBreak/>
              <w:t>#</w:t>
            </w:r>
          </w:p>
        </w:tc>
        <w:tc>
          <w:tcPr>
            <w:tcW w:w="1428" w:type="dxa"/>
          </w:tcPr>
          <w:p w14:paraId="4A36F8D7" w14:textId="0D348A7E" w:rsidR="00F04E6B" w:rsidRPr="00F04E6B" w:rsidRDefault="00F04E6B" w:rsidP="00F04E6B">
            <w:pPr>
              <w:ind w:left="-18"/>
              <w:rPr>
                <w:rFonts w:asciiTheme="minorHAnsi" w:eastAsia="Calibri" w:hAnsiTheme="minorHAnsi" w:cs="Calibri"/>
                <w:sz w:val="28"/>
                <w:szCs w:val="28"/>
              </w:rPr>
            </w:pPr>
            <w:r w:rsidRPr="00F04E6B">
              <w:rPr>
                <w:rFonts w:asciiTheme="minorHAnsi" w:hAnsiTheme="minorHAnsi"/>
                <w:b/>
                <w:bCs/>
                <w:sz w:val="28"/>
                <w:szCs w:val="28"/>
              </w:rPr>
              <w:t>RFP Reference</w:t>
            </w:r>
          </w:p>
        </w:tc>
        <w:tc>
          <w:tcPr>
            <w:tcW w:w="2532" w:type="dxa"/>
          </w:tcPr>
          <w:p w14:paraId="39F53901" w14:textId="33B1C04F" w:rsidR="00F04E6B" w:rsidRPr="00F04E6B" w:rsidRDefault="00F04E6B" w:rsidP="00F04E6B">
            <w:pPr>
              <w:rPr>
                <w:rFonts w:asciiTheme="minorHAnsi" w:eastAsia="Calibri" w:hAnsiTheme="minorHAnsi" w:cs="Calibri"/>
                <w:sz w:val="28"/>
                <w:szCs w:val="28"/>
              </w:rPr>
            </w:pPr>
            <w:r w:rsidRPr="00F04E6B">
              <w:rPr>
                <w:rFonts w:asciiTheme="minorHAnsi" w:hAnsiTheme="minorHAnsi"/>
                <w:b/>
                <w:bCs/>
                <w:sz w:val="28"/>
                <w:szCs w:val="28"/>
              </w:rPr>
              <w:t>Prospective Offeror Question</w:t>
            </w:r>
          </w:p>
        </w:tc>
        <w:tc>
          <w:tcPr>
            <w:tcW w:w="2520" w:type="dxa"/>
          </w:tcPr>
          <w:p w14:paraId="0F98C098" w14:textId="452B584A" w:rsidR="00F04E6B" w:rsidRPr="00F04E6B" w:rsidRDefault="00F04E6B" w:rsidP="00F04E6B">
            <w:pPr>
              <w:rPr>
                <w:rFonts w:asciiTheme="minorHAnsi" w:hAnsiTheme="minorHAnsi"/>
                <w:sz w:val="28"/>
                <w:szCs w:val="28"/>
              </w:rPr>
            </w:pPr>
            <w:r w:rsidRPr="00F04E6B">
              <w:rPr>
                <w:rFonts w:asciiTheme="minorHAnsi" w:hAnsiTheme="minorHAnsi"/>
                <w:b/>
                <w:bCs/>
                <w:sz w:val="28"/>
                <w:szCs w:val="28"/>
              </w:rPr>
              <w:t>State Answer</w:t>
            </w:r>
          </w:p>
        </w:tc>
        <w:tc>
          <w:tcPr>
            <w:tcW w:w="2564" w:type="dxa"/>
          </w:tcPr>
          <w:p w14:paraId="722149E7" w14:textId="2AE6EDAB" w:rsidR="00F04E6B" w:rsidRPr="00F04E6B" w:rsidRDefault="00F04E6B" w:rsidP="00F04E6B">
            <w:pPr>
              <w:ind w:left="66"/>
              <w:rPr>
                <w:rFonts w:asciiTheme="minorHAnsi" w:hAnsiTheme="minorHAnsi"/>
                <w:sz w:val="28"/>
                <w:szCs w:val="28"/>
              </w:rPr>
            </w:pPr>
            <w:r w:rsidRPr="00F04E6B">
              <w:rPr>
                <w:rFonts w:asciiTheme="minorHAnsi" w:hAnsiTheme="minorHAnsi"/>
                <w:b/>
                <w:bCs/>
                <w:sz w:val="28"/>
                <w:szCs w:val="28"/>
              </w:rPr>
              <w:t>Follow-Up Question</w:t>
            </w:r>
          </w:p>
        </w:tc>
        <w:tc>
          <w:tcPr>
            <w:tcW w:w="2332" w:type="dxa"/>
          </w:tcPr>
          <w:p w14:paraId="021D1616" w14:textId="78388A57" w:rsidR="00F04E6B" w:rsidRPr="00F04E6B" w:rsidRDefault="00F04E6B" w:rsidP="00F04E6B">
            <w:pPr>
              <w:ind w:left="12"/>
              <w:rPr>
                <w:rFonts w:asciiTheme="minorHAnsi" w:hAnsiTheme="minorHAnsi"/>
                <w:sz w:val="28"/>
                <w:szCs w:val="28"/>
              </w:rPr>
            </w:pPr>
            <w:r w:rsidRPr="00F04E6B">
              <w:rPr>
                <w:rFonts w:asciiTheme="minorHAnsi" w:hAnsiTheme="minorHAnsi"/>
                <w:b/>
                <w:bCs/>
                <w:sz w:val="28"/>
                <w:szCs w:val="28"/>
              </w:rPr>
              <w:t>Response</w:t>
            </w:r>
          </w:p>
        </w:tc>
      </w:tr>
      <w:tr w:rsidR="00F04E6B" w14:paraId="30E2BCB8" w14:textId="77777777" w:rsidTr="00BE4AD8">
        <w:tc>
          <w:tcPr>
            <w:tcW w:w="576" w:type="dxa"/>
          </w:tcPr>
          <w:p w14:paraId="7696C803" w14:textId="05C296CA" w:rsidR="00F04E6B" w:rsidRPr="00BE4AD8" w:rsidRDefault="00F04E6B" w:rsidP="00F04E6B">
            <w:pPr>
              <w:ind w:left="360" w:hanging="408"/>
              <w:rPr>
                <w:rFonts w:asciiTheme="minorHAnsi" w:hAnsiTheme="minorHAnsi"/>
                <w:sz w:val="22"/>
                <w:szCs w:val="22"/>
              </w:rPr>
            </w:pPr>
            <w:r w:rsidRPr="00BE4AD8">
              <w:rPr>
                <w:rFonts w:asciiTheme="minorHAnsi" w:eastAsia="Calibri" w:hAnsiTheme="minorHAnsi" w:cs="Calibri"/>
                <w:sz w:val="22"/>
                <w:szCs w:val="22"/>
              </w:rPr>
              <w:t>85</w:t>
            </w:r>
          </w:p>
        </w:tc>
        <w:tc>
          <w:tcPr>
            <w:tcW w:w="1428" w:type="dxa"/>
          </w:tcPr>
          <w:p w14:paraId="11840857" w14:textId="77777777" w:rsidR="00F04E6B" w:rsidRPr="00BE4AD8" w:rsidRDefault="00F04E6B" w:rsidP="00F04E6B">
            <w:pPr>
              <w:ind w:left="-18"/>
              <w:rPr>
                <w:rFonts w:asciiTheme="minorHAnsi" w:hAnsiTheme="minorHAnsi"/>
                <w:sz w:val="22"/>
                <w:szCs w:val="22"/>
              </w:rPr>
            </w:pPr>
            <w:r w:rsidRPr="00BE4AD8">
              <w:rPr>
                <w:rFonts w:asciiTheme="minorHAnsi" w:eastAsia="Calibri" w:hAnsiTheme="minorHAnsi" w:cs="Calibri"/>
                <w:sz w:val="22"/>
                <w:szCs w:val="22"/>
              </w:rPr>
              <w:t>Main RFP Document, Section 9, Significant RFP Due Dates</w:t>
            </w:r>
          </w:p>
        </w:tc>
        <w:tc>
          <w:tcPr>
            <w:tcW w:w="2532" w:type="dxa"/>
          </w:tcPr>
          <w:p w14:paraId="11409ECA" w14:textId="77777777" w:rsidR="00F04E6B" w:rsidRPr="00BE4AD8" w:rsidRDefault="00F04E6B" w:rsidP="00F04E6B">
            <w:pPr>
              <w:rPr>
                <w:rFonts w:asciiTheme="minorHAnsi" w:hAnsiTheme="minorHAnsi"/>
                <w:sz w:val="22"/>
                <w:szCs w:val="22"/>
              </w:rPr>
            </w:pPr>
            <w:r w:rsidRPr="00BE4AD8">
              <w:rPr>
                <w:rFonts w:asciiTheme="minorHAnsi" w:eastAsia="Calibri" w:hAnsiTheme="minorHAnsi" w:cs="Calibri"/>
                <w:sz w:val="22"/>
                <w:szCs w:val="22"/>
              </w:rPr>
              <w:t>Would the State be willing to push back the due date to April 18</w:t>
            </w:r>
            <w:r w:rsidRPr="00BE4AD8">
              <w:rPr>
                <w:rFonts w:asciiTheme="minorHAnsi" w:eastAsia="Calibri" w:hAnsiTheme="minorHAnsi" w:cs="Calibri"/>
                <w:sz w:val="22"/>
                <w:szCs w:val="22"/>
                <w:vertAlign w:val="superscript"/>
              </w:rPr>
              <w:t>th</w:t>
            </w:r>
            <w:r w:rsidRPr="00BE4AD8">
              <w:rPr>
                <w:rFonts w:asciiTheme="minorHAnsi" w:eastAsia="Calibri" w:hAnsiTheme="minorHAnsi" w:cs="Calibri"/>
                <w:sz w:val="22"/>
                <w:szCs w:val="22"/>
              </w:rPr>
              <w:t xml:space="preserve">?  This RFP response has many components and having an additional two weeks would materially help the quality of the response.  </w:t>
            </w:r>
          </w:p>
        </w:tc>
        <w:tc>
          <w:tcPr>
            <w:tcW w:w="2520" w:type="dxa"/>
          </w:tcPr>
          <w:p w14:paraId="77187329" w14:textId="77777777" w:rsidR="00F04E6B" w:rsidRPr="00BE4AD8" w:rsidRDefault="00F04E6B" w:rsidP="00F04E6B">
            <w:pPr>
              <w:rPr>
                <w:rFonts w:asciiTheme="minorHAnsi" w:hAnsiTheme="minorHAnsi"/>
                <w:sz w:val="22"/>
                <w:szCs w:val="22"/>
              </w:rPr>
            </w:pPr>
            <w:r w:rsidRPr="00BE4AD8">
              <w:rPr>
                <w:rFonts w:asciiTheme="minorHAnsi" w:hAnsiTheme="minorHAnsi"/>
                <w:sz w:val="22"/>
                <w:szCs w:val="22"/>
              </w:rPr>
              <w:t>The State will not be extending the due dates for responses due to our expedited schedule for the procurement.</w:t>
            </w:r>
          </w:p>
        </w:tc>
        <w:tc>
          <w:tcPr>
            <w:tcW w:w="2564" w:type="dxa"/>
          </w:tcPr>
          <w:p w14:paraId="0006EC8D" w14:textId="77777777" w:rsidR="00F04E6B" w:rsidRPr="00BE4AD8" w:rsidRDefault="00F04E6B" w:rsidP="00F04E6B">
            <w:pPr>
              <w:ind w:left="66"/>
              <w:rPr>
                <w:rFonts w:asciiTheme="minorHAnsi" w:hAnsiTheme="minorHAnsi"/>
                <w:sz w:val="22"/>
                <w:szCs w:val="22"/>
              </w:rPr>
            </w:pPr>
            <w:r w:rsidRPr="00BE4AD8">
              <w:rPr>
                <w:rFonts w:asciiTheme="minorHAnsi" w:hAnsiTheme="minorHAnsi"/>
                <w:sz w:val="22"/>
                <w:szCs w:val="22"/>
              </w:rPr>
              <w:t>Will the State consider granting a two week extension to allow vendors time to prepare printed copies?</w:t>
            </w:r>
          </w:p>
        </w:tc>
        <w:tc>
          <w:tcPr>
            <w:tcW w:w="2332" w:type="dxa"/>
          </w:tcPr>
          <w:p w14:paraId="24AD8C0E" w14:textId="174804CC" w:rsidR="00F04E6B" w:rsidRPr="00BE4AD8" w:rsidRDefault="00F04E6B" w:rsidP="00F04E6B">
            <w:pPr>
              <w:ind w:left="12"/>
              <w:rPr>
                <w:rFonts w:asciiTheme="minorHAnsi" w:hAnsiTheme="minorHAnsi"/>
                <w:sz w:val="22"/>
                <w:szCs w:val="22"/>
              </w:rPr>
            </w:pPr>
            <w:r w:rsidRPr="00BE4AD8">
              <w:rPr>
                <w:rFonts w:asciiTheme="minorHAnsi" w:hAnsiTheme="minorHAnsi"/>
                <w:sz w:val="22"/>
                <w:szCs w:val="22"/>
              </w:rPr>
              <w:t>See initial answer to Question 85.  Detailed revisions to submission requirements, including relief for the submittal of printed copies, will be released shortly as part of Addendum 6.</w:t>
            </w:r>
          </w:p>
        </w:tc>
      </w:tr>
      <w:tr w:rsidR="00F04E6B" w14:paraId="13FACAF0" w14:textId="77777777" w:rsidTr="00BE4AD8">
        <w:tc>
          <w:tcPr>
            <w:tcW w:w="576" w:type="dxa"/>
          </w:tcPr>
          <w:p w14:paraId="67C0C0E1" w14:textId="2688A092" w:rsidR="00F04E6B" w:rsidRPr="00BE4AD8" w:rsidRDefault="00F04E6B" w:rsidP="00F04E6B">
            <w:pPr>
              <w:ind w:left="360" w:hanging="408"/>
              <w:rPr>
                <w:rFonts w:asciiTheme="minorHAnsi" w:eastAsia="Calibri" w:hAnsiTheme="minorHAnsi" w:cs="Calibri"/>
                <w:sz w:val="22"/>
                <w:szCs w:val="22"/>
              </w:rPr>
            </w:pPr>
            <w:r w:rsidRPr="00BE4AD8">
              <w:rPr>
                <w:rFonts w:asciiTheme="minorHAnsi" w:eastAsia="Calibri" w:hAnsiTheme="minorHAnsi" w:cs="Calibri"/>
                <w:sz w:val="22"/>
                <w:szCs w:val="22"/>
              </w:rPr>
              <w:t>103</w:t>
            </w:r>
          </w:p>
        </w:tc>
        <w:tc>
          <w:tcPr>
            <w:tcW w:w="1428" w:type="dxa"/>
          </w:tcPr>
          <w:p w14:paraId="68B4540C" w14:textId="239A0DAA" w:rsidR="00F04E6B" w:rsidRPr="00BE4AD8" w:rsidRDefault="00F04E6B" w:rsidP="00F04E6B">
            <w:pPr>
              <w:ind w:left="-18"/>
              <w:rPr>
                <w:rFonts w:asciiTheme="minorHAnsi" w:eastAsia="Calibri" w:hAnsiTheme="minorHAnsi" w:cs="Calibri"/>
                <w:sz w:val="22"/>
                <w:szCs w:val="22"/>
              </w:rPr>
            </w:pPr>
            <w:r w:rsidRPr="00BE4AD8">
              <w:rPr>
                <w:rFonts w:asciiTheme="minorHAnsi" w:eastAsia="Calibri" w:hAnsiTheme="minorHAnsi" w:cs="Calibri"/>
                <w:sz w:val="22"/>
                <w:szCs w:val="22"/>
              </w:rPr>
              <w:t>Appendix I, Number of End Users, Table 1, Current Number of End Users</w:t>
            </w:r>
          </w:p>
        </w:tc>
        <w:tc>
          <w:tcPr>
            <w:tcW w:w="2532" w:type="dxa"/>
          </w:tcPr>
          <w:p w14:paraId="680B06C0" w14:textId="77777777" w:rsidR="00F04E6B" w:rsidRPr="00BE4AD8" w:rsidRDefault="00F04E6B" w:rsidP="00F04E6B">
            <w:pPr>
              <w:rPr>
                <w:rFonts w:asciiTheme="minorHAnsi" w:hAnsiTheme="minorHAnsi"/>
                <w:sz w:val="22"/>
                <w:szCs w:val="22"/>
                <w:lang w:val="en-AU"/>
              </w:rPr>
            </w:pPr>
            <w:r w:rsidRPr="00BE4AD8">
              <w:rPr>
                <w:rFonts w:asciiTheme="minorHAnsi" w:hAnsiTheme="minorHAnsi"/>
                <w:sz w:val="22"/>
                <w:szCs w:val="22"/>
                <w:lang w:val="en-AU"/>
              </w:rPr>
              <w:t>[A] How many unique individuals (employees) are being paid in a calendar year (casual or salaried)?</w:t>
            </w:r>
          </w:p>
          <w:p w14:paraId="0A0EE558" w14:textId="77777777" w:rsidR="00F04E6B" w:rsidRPr="00BE4AD8" w:rsidRDefault="00F04E6B" w:rsidP="00F04E6B">
            <w:pPr>
              <w:rPr>
                <w:rFonts w:asciiTheme="minorHAnsi" w:hAnsiTheme="minorHAnsi"/>
                <w:sz w:val="22"/>
                <w:szCs w:val="22"/>
                <w:lang w:val="en-AU"/>
              </w:rPr>
            </w:pPr>
          </w:p>
          <w:p w14:paraId="78812287" w14:textId="77777777" w:rsidR="00F04E6B" w:rsidRPr="00BE4AD8" w:rsidRDefault="00F04E6B" w:rsidP="00F04E6B">
            <w:pPr>
              <w:rPr>
                <w:rFonts w:asciiTheme="minorHAnsi" w:hAnsiTheme="minorHAnsi"/>
                <w:sz w:val="22"/>
                <w:szCs w:val="22"/>
                <w:lang w:val="en-AU"/>
              </w:rPr>
            </w:pPr>
            <w:r w:rsidRPr="00BE4AD8">
              <w:rPr>
                <w:rFonts w:asciiTheme="minorHAnsi" w:hAnsiTheme="minorHAnsi"/>
                <w:sz w:val="22"/>
                <w:szCs w:val="22"/>
                <w:lang w:val="en-AU"/>
              </w:rPr>
              <w:t>[B] Of all the employees in [A], how many will be requiring access to employee self-service (ESS) functions like applying for absences and checking their pay advices (usually the same number as [A])?</w:t>
            </w:r>
          </w:p>
          <w:p w14:paraId="0D1692C7" w14:textId="77777777" w:rsidR="00F04E6B" w:rsidRPr="00BE4AD8" w:rsidRDefault="00F04E6B" w:rsidP="00F04E6B">
            <w:pPr>
              <w:rPr>
                <w:rFonts w:asciiTheme="minorHAnsi" w:hAnsiTheme="minorHAnsi"/>
                <w:sz w:val="22"/>
                <w:szCs w:val="22"/>
                <w:lang w:val="en-AU"/>
              </w:rPr>
            </w:pPr>
          </w:p>
          <w:p w14:paraId="360987FA" w14:textId="77777777" w:rsidR="00F04E6B" w:rsidRPr="00BE4AD8" w:rsidRDefault="00F04E6B" w:rsidP="00F04E6B">
            <w:pPr>
              <w:rPr>
                <w:rFonts w:asciiTheme="minorHAnsi" w:hAnsiTheme="minorHAnsi"/>
                <w:sz w:val="22"/>
                <w:szCs w:val="22"/>
                <w:lang w:val="en-AU"/>
              </w:rPr>
            </w:pPr>
            <w:r w:rsidRPr="00BE4AD8">
              <w:rPr>
                <w:rFonts w:asciiTheme="minorHAnsi" w:hAnsiTheme="minorHAnsi"/>
                <w:sz w:val="22"/>
                <w:szCs w:val="22"/>
                <w:lang w:val="en-AU"/>
              </w:rPr>
              <w:t>[C] Of all the employees, there will be a subset who require greater access than ESS, i.e. the transaction/ power/ inquiry/ reporting users, e.g. managers using Manager Self-Service (MSS) or payroll/ HR/ Finance users running reports, inputting data, running processes.   What is the number of users in this subset?</w:t>
            </w:r>
          </w:p>
          <w:p w14:paraId="6909482B" w14:textId="77777777" w:rsidR="00F04E6B" w:rsidRPr="00BE4AD8" w:rsidRDefault="00F04E6B" w:rsidP="00F04E6B">
            <w:pPr>
              <w:rPr>
                <w:rFonts w:asciiTheme="minorHAnsi" w:eastAsia="Calibri" w:hAnsiTheme="minorHAnsi" w:cs="Calibri"/>
                <w:sz w:val="22"/>
                <w:szCs w:val="22"/>
              </w:rPr>
            </w:pPr>
          </w:p>
        </w:tc>
        <w:tc>
          <w:tcPr>
            <w:tcW w:w="2520" w:type="dxa"/>
          </w:tcPr>
          <w:p w14:paraId="26B257B1" w14:textId="77777777" w:rsidR="00F04E6B" w:rsidRPr="00BE4AD8" w:rsidRDefault="00F04E6B" w:rsidP="00F04E6B">
            <w:pPr>
              <w:rPr>
                <w:rFonts w:asciiTheme="minorHAnsi" w:hAnsiTheme="minorHAnsi"/>
                <w:sz w:val="22"/>
                <w:szCs w:val="22"/>
              </w:rPr>
            </w:pPr>
            <w:r w:rsidRPr="00BE4AD8">
              <w:rPr>
                <w:rFonts w:asciiTheme="minorHAnsi" w:hAnsiTheme="minorHAnsi"/>
                <w:sz w:val="22"/>
                <w:szCs w:val="22"/>
              </w:rPr>
              <w:t>[A] The total number of unique individuals being paid in a calendar year is represented in Table 1, Appendix I, as “DAGS Payroll.”</w:t>
            </w:r>
          </w:p>
          <w:p w14:paraId="22DADAEC" w14:textId="77777777" w:rsidR="00F04E6B" w:rsidRPr="00BE4AD8" w:rsidRDefault="00F04E6B" w:rsidP="00F04E6B">
            <w:pPr>
              <w:rPr>
                <w:rFonts w:asciiTheme="minorHAnsi" w:hAnsiTheme="minorHAnsi"/>
                <w:sz w:val="22"/>
                <w:szCs w:val="22"/>
              </w:rPr>
            </w:pPr>
          </w:p>
          <w:p w14:paraId="410D5D5C" w14:textId="77777777" w:rsidR="00F04E6B" w:rsidRPr="00BE4AD8" w:rsidRDefault="00F04E6B" w:rsidP="00F04E6B">
            <w:pPr>
              <w:rPr>
                <w:rFonts w:asciiTheme="minorHAnsi" w:hAnsiTheme="minorHAnsi"/>
                <w:sz w:val="22"/>
                <w:szCs w:val="22"/>
              </w:rPr>
            </w:pPr>
            <w:r w:rsidRPr="00BE4AD8">
              <w:rPr>
                <w:rFonts w:asciiTheme="minorHAnsi" w:hAnsiTheme="minorHAnsi"/>
                <w:sz w:val="22"/>
                <w:szCs w:val="22"/>
              </w:rPr>
              <w:t>[B] All of the employees in [A] will require access.</w:t>
            </w:r>
          </w:p>
          <w:p w14:paraId="38C37328" w14:textId="77777777" w:rsidR="00F04E6B" w:rsidRPr="00BE4AD8" w:rsidRDefault="00F04E6B" w:rsidP="00F04E6B">
            <w:pPr>
              <w:rPr>
                <w:rFonts w:asciiTheme="minorHAnsi" w:hAnsiTheme="minorHAnsi"/>
                <w:sz w:val="22"/>
                <w:szCs w:val="22"/>
              </w:rPr>
            </w:pPr>
          </w:p>
          <w:p w14:paraId="24228479" w14:textId="3D258C1D" w:rsidR="00F04E6B" w:rsidRPr="00BE4AD8" w:rsidRDefault="00F04E6B" w:rsidP="00F04E6B">
            <w:pPr>
              <w:rPr>
                <w:rFonts w:asciiTheme="minorHAnsi" w:hAnsiTheme="minorHAnsi"/>
                <w:sz w:val="22"/>
                <w:szCs w:val="22"/>
              </w:rPr>
            </w:pPr>
            <w:r w:rsidRPr="00BE4AD8">
              <w:rPr>
                <w:rFonts w:asciiTheme="minorHAnsi" w:hAnsiTheme="minorHAnsi"/>
                <w:sz w:val="22"/>
                <w:szCs w:val="22"/>
              </w:rPr>
              <w:t>[C] Please refer to Appendix I, Table 2 for a partial count of users who will require greater access than ESS.  The full count will depend partly on the State’s decision to include optional functionality in Appendix C-2, Optional Payroll and Time &amp; Attendance Requirements.</w:t>
            </w:r>
          </w:p>
        </w:tc>
        <w:tc>
          <w:tcPr>
            <w:tcW w:w="2564" w:type="dxa"/>
          </w:tcPr>
          <w:p w14:paraId="5B40CA2E" w14:textId="77777777" w:rsidR="00F04E6B" w:rsidRPr="00BE4AD8" w:rsidRDefault="00F04E6B" w:rsidP="00F04E6B">
            <w:pPr>
              <w:ind w:left="66"/>
              <w:rPr>
                <w:rFonts w:asciiTheme="minorHAnsi" w:hAnsiTheme="minorHAnsi"/>
                <w:sz w:val="22"/>
                <w:szCs w:val="22"/>
              </w:rPr>
            </w:pPr>
          </w:p>
        </w:tc>
        <w:tc>
          <w:tcPr>
            <w:tcW w:w="2332" w:type="dxa"/>
          </w:tcPr>
          <w:p w14:paraId="5F9937B4" w14:textId="5D231926" w:rsidR="00F04E6B" w:rsidRPr="00BE4AD8" w:rsidRDefault="00F04E6B" w:rsidP="00F04E6B">
            <w:pPr>
              <w:ind w:left="12"/>
              <w:rPr>
                <w:rFonts w:asciiTheme="minorHAnsi" w:hAnsiTheme="minorHAnsi"/>
                <w:sz w:val="22"/>
                <w:szCs w:val="22"/>
              </w:rPr>
            </w:pPr>
          </w:p>
        </w:tc>
      </w:tr>
      <w:tr w:rsidR="00F04E6B" w14:paraId="5D76D81F" w14:textId="77777777" w:rsidTr="00BE4AD8">
        <w:tc>
          <w:tcPr>
            <w:tcW w:w="576" w:type="dxa"/>
          </w:tcPr>
          <w:p w14:paraId="68A66A3A" w14:textId="561C2EEE" w:rsidR="00F04E6B" w:rsidRPr="00BE4AD8" w:rsidRDefault="00F04E6B" w:rsidP="00F04E6B">
            <w:pPr>
              <w:ind w:left="360" w:hanging="408"/>
              <w:rPr>
                <w:rFonts w:asciiTheme="minorHAnsi" w:eastAsia="Calibri" w:hAnsiTheme="minorHAnsi" w:cs="Calibri"/>
                <w:sz w:val="22"/>
                <w:szCs w:val="22"/>
              </w:rPr>
            </w:pPr>
            <w:r w:rsidRPr="00BE4AD8">
              <w:rPr>
                <w:rFonts w:asciiTheme="minorHAnsi" w:eastAsia="Calibri" w:hAnsiTheme="minorHAnsi" w:cs="Calibri"/>
                <w:sz w:val="22"/>
                <w:szCs w:val="22"/>
              </w:rPr>
              <w:t>104</w:t>
            </w:r>
          </w:p>
        </w:tc>
        <w:tc>
          <w:tcPr>
            <w:tcW w:w="1428" w:type="dxa"/>
          </w:tcPr>
          <w:p w14:paraId="534627CF" w14:textId="640B02DF" w:rsidR="00F04E6B" w:rsidRPr="00BE4AD8" w:rsidRDefault="00F04E6B" w:rsidP="00F04E6B">
            <w:pPr>
              <w:ind w:left="-18"/>
              <w:rPr>
                <w:rFonts w:asciiTheme="minorHAnsi" w:eastAsia="Calibri" w:hAnsiTheme="minorHAnsi" w:cs="Calibri"/>
                <w:sz w:val="22"/>
                <w:szCs w:val="22"/>
              </w:rPr>
            </w:pPr>
            <w:r w:rsidRPr="00BE4AD8">
              <w:rPr>
                <w:rFonts w:asciiTheme="minorHAnsi" w:eastAsia="Calibri" w:hAnsiTheme="minorHAnsi" w:cs="Calibri"/>
                <w:sz w:val="22"/>
                <w:szCs w:val="22"/>
              </w:rPr>
              <w:t xml:space="preserve">Appendix I, Number of End Users, Table 1, </w:t>
            </w:r>
            <w:r w:rsidRPr="00BE4AD8">
              <w:rPr>
                <w:rFonts w:asciiTheme="minorHAnsi" w:eastAsia="Calibri" w:hAnsiTheme="minorHAnsi" w:cs="Calibri"/>
                <w:sz w:val="22"/>
                <w:szCs w:val="22"/>
              </w:rPr>
              <w:lastRenderedPageBreak/>
              <w:t>Current Number of End Users</w:t>
            </w:r>
          </w:p>
        </w:tc>
        <w:tc>
          <w:tcPr>
            <w:tcW w:w="2532" w:type="dxa"/>
          </w:tcPr>
          <w:p w14:paraId="157A042C" w14:textId="77777777" w:rsidR="00F04E6B" w:rsidRPr="00BE4AD8" w:rsidRDefault="00F04E6B" w:rsidP="00F04E6B">
            <w:pPr>
              <w:rPr>
                <w:rFonts w:asciiTheme="minorHAnsi" w:hAnsiTheme="minorHAnsi"/>
                <w:sz w:val="22"/>
                <w:szCs w:val="22"/>
                <w:lang w:val="en-AU"/>
              </w:rPr>
            </w:pPr>
            <w:r w:rsidRPr="00BE4AD8">
              <w:rPr>
                <w:rFonts w:asciiTheme="minorHAnsi" w:hAnsiTheme="minorHAnsi"/>
                <w:sz w:val="22"/>
                <w:szCs w:val="22"/>
                <w:lang w:val="en-AU"/>
              </w:rPr>
              <w:lastRenderedPageBreak/>
              <w:t>Current 'users' as indicated by Appendix I, Table 1, are indicated to be:</w:t>
            </w:r>
          </w:p>
          <w:p w14:paraId="04FED9B0" w14:textId="6D6E0D59" w:rsidR="00F04E6B" w:rsidRPr="00BE4AD8" w:rsidRDefault="00BE4AD8" w:rsidP="00F04E6B">
            <w:pPr>
              <w:pStyle w:val="ListParagraph"/>
              <w:ind w:hanging="360"/>
              <w:rPr>
                <w:rFonts w:asciiTheme="minorHAnsi" w:hAnsiTheme="minorHAnsi"/>
                <w:sz w:val="22"/>
                <w:szCs w:val="22"/>
                <w:lang w:val="en-AU"/>
              </w:rPr>
            </w:pPr>
            <w:r>
              <w:rPr>
                <w:rFonts w:asciiTheme="minorHAnsi" w:hAnsiTheme="minorHAnsi"/>
                <w:sz w:val="22"/>
                <w:szCs w:val="22"/>
                <w:lang w:val="en-AU"/>
              </w:rPr>
              <w:lastRenderedPageBreak/>
              <w:t>-</w:t>
            </w:r>
            <w:r w:rsidR="00F04E6B" w:rsidRPr="00BE4AD8">
              <w:rPr>
                <w:rFonts w:asciiTheme="minorHAnsi" w:hAnsiTheme="minorHAnsi"/>
                <w:sz w:val="22"/>
                <w:szCs w:val="22"/>
                <w:lang w:val="en-AU"/>
              </w:rPr>
              <w:t>         DAGS Payroll users</w:t>
            </w:r>
            <w:r w:rsidR="00F04E6B" w:rsidRPr="00BE4AD8">
              <w:rPr>
                <w:rFonts w:asciiTheme="minorHAnsi" w:hAnsiTheme="minorHAnsi"/>
                <w:b/>
                <w:bCs/>
                <w:sz w:val="22"/>
                <w:szCs w:val="22"/>
                <w:lang w:val="en-AU"/>
              </w:rPr>
              <w:t xml:space="preserve"> 86300</w:t>
            </w:r>
          </w:p>
          <w:p w14:paraId="3FF1F646" w14:textId="05AE3FED" w:rsidR="00F04E6B" w:rsidRPr="00BE4AD8" w:rsidRDefault="00BE4AD8" w:rsidP="00F04E6B">
            <w:pPr>
              <w:pStyle w:val="ListParagraph"/>
              <w:ind w:hanging="360"/>
              <w:rPr>
                <w:rFonts w:asciiTheme="minorHAnsi" w:hAnsiTheme="minorHAnsi"/>
                <w:sz w:val="22"/>
                <w:szCs w:val="22"/>
                <w:lang w:val="en-AU"/>
              </w:rPr>
            </w:pPr>
            <w:r>
              <w:rPr>
                <w:rFonts w:asciiTheme="minorHAnsi" w:hAnsiTheme="minorHAnsi"/>
                <w:sz w:val="22"/>
                <w:szCs w:val="22"/>
                <w:lang w:val="en-AU"/>
              </w:rPr>
              <w:t>-</w:t>
            </w:r>
            <w:r w:rsidR="00F04E6B" w:rsidRPr="00BE4AD8">
              <w:rPr>
                <w:rFonts w:asciiTheme="minorHAnsi" w:hAnsiTheme="minorHAnsi"/>
                <w:sz w:val="22"/>
                <w:szCs w:val="22"/>
                <w:lang w:val="en-AU"/>
              </w:rPr>
              <w:t xml:space="preserve">         Casual Payroll users </w:t>
            </w:r>
            <w:r w:rsidR="00F04E6B" w:rsidRPr="00BE4AD8">
              <w:rPr>
                <w:rFonts w:asciiTheme="minorHAnsi" w:hAnsiTheme="minorHAnsi"/>
                <w:b/>
                <w:bCs/>
                <w:sz w:val="22"/>
                <w:szCs w:val="22"/>
                <w:lang w:val="en-AU"/>
              </w:rPr>
              <w:t>20,000</w:t>
            </w:r>
          </w:p>
          <w:p w14:paraId="4081C441" w14:textId="3C916D74" w:rsidR="00F04E6B" w:rsidRPr="00BE4AD8" w:rsidRDefault="00BE4AD8" w:rsidP="00F04E6B">
            <w:pPr>
              <w:pStyle w:val="ListParagraph"/>
              <w:ind w:hanging="360"/>
              <w:rPr>
                <w:rFonts w:asciiTheme="minorHAnsi" w:hAnsiTheme="minorHAnsi"/>
                <w:sz w:val="22"/>
                <w:szCs w:val="22"/>
                <w:lang w:val="en-AU"/>
              </w:rPr>
            </w:pPr>
            <w:r>
              <w:rPr>
                <w:rFonts w:asciiTheme="minorHAnsi" w:hAnsiTheme="minorHAnsi"/>
                <w:sz w:val="22"/>
                <w:szCs w:val="22"/>
                <w:lang w:val="en-AU"/>
              </w:rPr>
              <w:t>-</w:t>
            </w:r>
            <w:r w:rsidR="00F04E6B" w:rsidRPr="00BE4AD8">
              <w:rPr>
                <w:rFonts w:asciiTheme="minorHAnsi" w:hAnsiTheme="minorHAnsi"/>
                <w:sz w:val="22"/>
                <w:szCs w:val="22"/>
                <w:lang w:val="en-AU"/>
              </w:rPr>
              <w:t>         Payroll entry system</w:t>
            </w:r>
            <w:r w:rsidR="00F04E6B" w:rsidRPr="00BE4AD8">
              <w:rPr>
                <w:rFonts w:asciiTheme="minorHAnsi" w:hAnsiTheme="minorHAnsi"/>
                <w:b/>
                <w:bCs/>
                <w:sz w:val="22"/>
                <w:szCs w:val="22"/>
                <w:lang w:val="en-AU"/>
              </w:rPr>
              <w:t xml:space="preserve"> </w:t>
            </w:r>
            <w:r w:rsidR="00F04E6B" w:rsidRPr="00BE4AD8">
              <w:rPr>
                <w:rFonts w:asciiTheme="minorHAnsi" w:hAnsiTheme="minorHAnsi"/>
                <w:sz w:val="22"/>
                <w:szCs w:val="22"/>
                <w:lang w:val="en-AU"/>
              </w:rPr>
              <w:t>users</w:t>
            </w:r>
            <w:r w:rsidR="00F04E6B" w:rsidRPr="00BE4AD8">
              <w:rPr>
                <w:rFonts w:asciiTheme="minorHAnsi" w:hAnsiTheme="minorHAnsi"/>
                <w:b/>
                <w:bCs/>
                <w:sz w:val="22"/>
                <w:szCs w:val="22"/>
                <w:lang w:val="en-AU"/>
              </w:rPr>
              <w:t xml:space="preserve"> 2,000</w:t>
            </w:r>
          </w:p>
          <w:p w14:paraId="4D52CFDF" w14:textId="77777777" w:rsidR="00F04E6B" w:rsidRPr="00BE4AD8" w:rsidRDefault="00F04E6B" w:rsidP="00F04E6B">
            <w:pPr>
              <w:rPr>
                <w:rFonts w:asciiTheme="minorHAnsi" w:hAnsiTheme="minorHAnsi"/>
                <w:sz w:val="22"/>
                <w:szCs w:val="22"/>
                <w:lang w:val="en-AU"/>
              </w:rPr>
            </w:pPr>
          </w:p>
          <w:p w14:paraId="7CFD8B2E" w14:textId="77777777" w:rsidR="00F04E6B" w:rsidRPr="00BE4AD8" w:rsidRDefault="00F04E6B" w:rsidP="00F04E6B">
            <w:pPr>
              <w:rPr>
                <w:rFonts w:asciiTheme="minorHAnsi" w:hAnsiTheme="minorHAnsi"/>
                <w:sz w:val="22"/>
                <w:szCs w:val="22"/>
                <w:lang w:val="en-AU"/>
              </w:rPr>
            </w:pPr>
            <w:r w:rsidRPr="00BE4AD8">
              <w:rPr>
                <w:rFonts w:asciiTheme="minorHAnsi" w:hAnsiTheme="minorHAnsi"/>
                <w:sz w:val="22"/>
                <w:szCs w:val="22"/>
                <w:lang w:val="en-AU"/>
              </w:rPr>
              <w:t>Assuming 'users' here are employees being paid or with active employee records, this implies total active payroll recipients is approximately 108,300.  Is this a correct interpretation?  If not, how many unique individuals are being paid in a calendar year across the systems designated for replacement?</w:t>
            </w:r>
          </w:p>
          <w:p w14:paraId="457209E3" w14:textId="77777777" w:rsidR="00F04E6B" w:rsidRPr="00BE4AD8" w:rsidRDefault="00F04E6B" w:rsidP="00F04E6B">
            <w:pPr>
              <w:rPr>
                <w:rFonts w:asciiTheme="minorHAnsi" w:hAnsiTheme="minorHAnsi"/>
                <w:sz w:val="22"/>
                <w:szCs w:val="22"/>
                <w:lang w:val="en-AU"/>
              </w:rPr>
            </w:pPr>
          </w:p>
        </w:tc>
        <w:tc>
          <w:tcPr>
            <w:tcW w:w="2520" w:type="dxa"/>
          </w:tcPr>
          <w:p w14:paraId="42F23390" w14:textId="25D15681" w:rsidR="00F04E6B" w:rsidRPr="00BE4AD8" w:rsidRDefault="00F04E6B" w:rsidP="00F04E6B">
            <w:pPr>
              <w:rPr>
                <w:rFonts w:asciiTheme="minorHAnsi" w:hAnsiTheme="minorHAnsi"/>
                <w:sz w:val="22"/>
                <w:szCs w:val="22"/>
              </w:rPr>
            </w:pPr>
            <w:r w:rsidRPr="00BE4AD8">
              <w:rPr>
                <w:rFonts w:asciiTheme="minorHAnsi" w:hAnsiTheme="minorHAnsi"/>
                <w:sz w:val="22"/>
                <w:szCs w:val="22"/>
              </w:rPr>
              <w:lastRenderedPageBreak/>
              <w:t>Please see the response to Question 103 [A].</w:t>
            </w:r>
          </w:p>
        </w:tc>
        <w:tc>
          <w:tcPr>
            <w:tcW w:w="2564" w:type="dxa"/>
          </w:tcPr>
          <w:p w14:paraId="60B0FCF1" w14:textId="77777777" w:rsidR="00F04E6B" w:rsidRPr="00BE4AD8" w:rsidRDefault="00F04E6B" w:rsidP="00F04E6B">
            <w:pPr>
              <w:ind w:left="66"/>
              <w:rPr>
                <w:rFonts w:asciiTheme="minorHAnsi" w:hAnsiTheme="minorHAnsi"/>
                <w:sz w:val="22"/>
                <w:szCs w:val="22"/>
              </w:rPr>
            </w:pPr>
          </w:p>
        </w:tc>
        <w:tc>
          <w:tcPr>
            <w:tcW w:w="2332" w:type="dxa"/>
          </w:tcPr>
          <w:p w14:paraId="00E49D65" w14:textId="35AD582B" w:rsidR="00F04E6B" w:rsidRPr="00BE4AD8" w:rsidRDefault="00F04E6B" w:rsidP="00F04E6B">
            <w:pPr>
              <w:ind w:left="12"/>
              <w:rPr>
                <w:rFonts w:asciiTheme="minorHAnsi" w:hAnsiTheme="minorHAnsi"/>
                <w:sz w:val="22"/>
                <w:szCs w:val="22"/>
              </w:rPr>
            </w:pPr>
          </w:p>
        </w:tc>
      </w:tr>
      <w:tr w:rsidR="00F04E6B" w14:paraId="1595607F" w14:textId="77777777" w:rsidTr="00BE4AD8">
        <w:tc>
          <w:tcPr>
            <w:tcW w:w="576" w:type="dxa"/>
          </w:tcPr>
          <w:p w14:paraId="0E9225F9" w14:textId="2279C77E" w:rsidR="00F04E6B" w:rsidRPr="00BE4AD8" w:rsidRDefault="00F04E6B" w:rsidP="00F04E6B">
            <w:pPr>
              <w:ind w:left="360" w:hanging="408"/>
              <w:rPr>
                <w:rFonts w:asciiTheme="minorHAnsi" w:eastAsia="Calibri" w:hAnsiTheme="minorHAnsi" w:cs="Calibri"/>
                <w:sz w:val="22"/>
                <w:szCs w:val="22"/>
              </w:rPr>
            </w:pPr>
            <w:r w:rsidRPr="00BE4AD8">
              <w:rPr>
                <w:rFonts w:asciiTheme="minorHAnsi" w:eastAsia="Calibri" w:hAnsiTheme="minorHAnsi" w:cs="Calibri"/>
                <w:sz w:val="22"/>
                <w:szCs w:val="22"/>
              </w:rPr>
              <w:t>105</w:t>
            </w:r>
          </w:p>
        </w:tc>
        <w:tc>
          <w:tcPr>
            <w:tcW w:w="1428" w:type="dxa"/>
          </w:tcPr>
          <w:p w14:paraId="17C76DAB" w14:textId="76AE0E56" w:rsidR="00F04E6B" w:rsidRPr="00BE4AD8" w:rsidRDefault="00F04E6B" w:rsidP="00F04E6B">
            <w:pPr>
              <w:ind w:left="-18"/>
              <w:rPr>
                <w:rFonts w:asciiTheme="minorHAnsi" w:eastAsia="Calibri" w:hAnsiTheme="minorHAnsi" w:cs="Calibri"/>
                <w:sz w:val="22"/>
                <w:szCs w:val="22"/>
              </w:rPr>
            </w:pPr>
            <w:r w:rsidRPr="00BE4AD8">
              <w:rPr>
                <w:rFonts w:asciiTheme="minorHAnsi" w:eastAsia="Calibri" w:hAnsiTheme="minorHAnsi" w:cs="Calibri"/>
                <w:sz w:val="22"/>
                <w:szCs w:val="22"/>
              </w:rPr>
              <w:t>Appendix I, Number of End Users, Table 3, Anticipated Number of Self-Service End Users</w:t>
            </w:r>
          </w:p>
        </w:tc>
        <w:tc>
          <w:tcPr>
            <w:tcW w:w="2532" w:type="dxa"/>
          </w:tcPr>
          <w:p w14:paraId="0E68E571" w14:textId="77777777" w:rsidR="00F04E6B" w:rsidRPr="00BE4AD8" w:rsidRDefault="00F04E6B" w:rsidP="00F04E6B">
            <w:pPr>
              <w:rPr>
                <w:rFonts w:asciiTheme="minorHAnsi" w:hAnsiTheme="minorHAnsi"/>
                <w:sz w:val="22"/>
                <w:szCs w:val="22"/>
                <w:lang w:val="en-AU"/>
              </w:rPr>
            </w:pPr>
            <w:r w:rsidRPr="00BE4AD8">
              <w:rPr>
                <w:rFonts w:asciiTheme="minorHAnsi" w:hAnsiTheme="minorHAnsi"/>
                <w:sz w:val="22"/>
                <w:szCs w:val="22"/>
                <w:lang w:val="en-AU"/>
              </w:rPr>
              <w:t xml:space="preserve">Future 'self service users', as indicated by Appendix I, Table 3 are estimated to be 39,006, excluding casuals, which are listed as 22,621.  This gives a total of 61,627 self-service users.  Can you explain the discrepancy between 108,300 payroll employees indicated in Question 1 currently, and 61,627 indicated here as 'future'?  We also note that the powerpoint slide presentation mentioned 80,000 payroll employees.  </w:t>
            </w:r>
          </w:p>
          <w:p w14:paraId="58C6F30A" w14:textId="77777777" w:rsidR="00F04E6B" w:rsidRPr="00BE4AD8" w:rsidRDefault="00F04E6B" w:rsidP="00F04E6B">
            <w:pPr>
              <w:rPr>
                <w:rFonts w:asciiTheme="minorHAnsi" w:hAnsiTheme="minorHAnsi"/>
                <w:sz w:val="22"/>
                <w:szCs w:val="22"/>
                <w:lang w:val="en-AU"/>
              </w:rPr>
            </w:pPr>
          </w:p>
        </w:tc>
        <w:tc>
          <w:tcPr>
            <w:tcW w:w="2520" w:type="dxa"/>
          </w:tcPr>
          <w:p w14:paraId="6366B021" w14:textId="6936DE9D" w:rsidR="00F04E6B" w:rsidRPr="00BE4AD8" w:rsidRDefault="00F04E6B" w:rsidP="00F04E6B">
            <w:pPr>
              <w:rPr>
                <w:rFonts w:asciiTheme="minorHAnsi" w:hAnsiTheme="minorHAnsi"/>
                <w:sz w:val="22"/>
                <w:szCs w:val="22"/>
              </w:rPr>
            </w:pPr>
            <w:r w:rsidRPr="00BE4AD8">
              <w:rPr>
                <w:rFonts w:asciiTheme="minorHAnsi" w:hAnsiTheme="minorHAnsi"/>
                <w:sz w:val="22"/>
                <w:szCs w:val="22"/>
              </w:rPr>
              <w:t xml:space="preserve">Please see the response to Question 103 [A], and Addendum 5.  The mechanics for offering self service to employees in non-Executive Branch agencies have not yet been decided upon, therefore the total number of active payroll recipients should be used for planning and costing for self service.  </w:t>
            </w:r>
          </w:p>
        </w:tc>
        <w:tc>
          <w:tcPr>
            <w:tcW w:w="2564" w:type="dxa"/>
          </w:tcPr>
          <w:p w14:paraId="757FD899" w14:textId="77777777" w:rsidR="00F04E6B" w:rsidRPr="00BE4AD8" w:rsidRDefault="00F04E6B" w:rsidP="00F04E6B">
            <w:pPr>
              <w:ind w:left="66"/>
              <w:rPr>
                <w:rFonts w:asciiTheme="minorHAnsi" w:hAnsiTheme="minorHAnsi"/>
                <w:sz w:val="22"/>
                <w:szCs w:val="22"/>
              </w:rPr>
            </w:pPr>
          </w:p>
        </w:tc>
        <w:tc>
          <w:tcPr>
            <w:tcW w:w="2332" w:type="dxa"/>
          </w:tcPr>
          <w:p w14:paraId="44A55407" w14:textId="5E9C0507" w:rsidR="00F04E6B" w:rsidRPr="00BE4AD8" w:rsidRDefault="00F04E6B" w:rsidP="00F04E6B">
            <w:pPr>
              <w:ind w:left="12"/>
              <w:rPr>
                <w:rFonts w:asciiTheme="minorHAnsi" w:hAnsiTheme="minorHAnsi"/>
                <w:sz w:val="22"/>
                <w:szCs w:val="22"/>
              </w:rPr>
            </w:pPr>
          </w:p>
        </w:tc>
      </w:tr>
      <w:tr w:rsidR="00F04E6B" w14:paraId="44DAD7C5" w14:textId="77777777" w:rsidTr="00BE4AD8">
        <w:tc>
          <w:tcPr>
            <w:tcW w:w="576" w:type="dxa"/>
          </w:tcPr>
          <w:p w14:paraId="1E5079DC" w14:textId="34466813" w:rsidR="00F04E6B" w:rsidRPr="00BE4AD8" w:rsidRDefault="00F04E6B" w:rsidP="00F04E6B">
            <w:pPr>
              <w:ind w:left="360" w:hanging="408"/>
              <w:rPr>
                <w:rFonts w:asciiTheme="minorHAnsi" w:eastAsia="Calibri" w:hAnsiTheme="minorHAnsi" w:cs="Calibri"/>
                <w:sz w:val="22"/>
                <w:szCs w:val="22"/>
              </w:rPr>
            </w:pPr>
            <w:r w:rsidRPr="00BE4AD8">
              <w:rPr>
                <w:rFonts w:asciiTheme="minorHAnsi" w:eastAsia="Calibri" w:hAnsiTheme="minorHAnsi" w:cs="Calibri"/>
                <w:sz w:val="22"/>
                <w:szCs w:val="22"/>
              </w:rPr>
              <w:t>106</w:t>
            </w:r>
          </w:p>
        </w:tc>
        <w:tc>
          <w:tcPr>
            <w:tcW w:w="1428" w:type="dxa"/>
          </w:tcPr>
          <w:p w14:paraId="105FB5C1" w14:textId="0F1CACCA" w:rsidR="00F04E6B" w:rsidRPr="00BE4AD8" w:rsidRDefault="00F04E6B" w:rsidP="00F04E6B">
            <w:pPr>
              <w:ind w:left="-18"/>
              <w:rPr>
                <w:rFonts w:asciiTheme="minorHAnsi" w:eastAsia="Calibri" w:hAnsiTheme="minorHAnsi" w:cs="Calibri"/>
                <w:sz w:val="22"/>
                <w:szCs w:val="22"/>
              </w:rPr>
            </w:pPr>
            <w:r w:rsidRPr="00BE4AD8">
              <w:rPr>
                <w:rFonts w:asciiTheme="minorHAnsi" w:eastAsia="Calibri" w:hAnsiTheme="minorHAnsi" w:cs="Calibri"/>
                <w:sz w:val="22"/>
                <w:szCs w:val="22"/>
              </w:rPr>
              <w:t xml:space="preserve">Appendix I, Number of End Users, Table 2, Number of Transactional, Power, </w:t>
            </w:r>
            <w:r w:rsidRPr="00BE4AD8">
              <w:rPr>
                <w:rFonts w:asciiTheme="minorHAnsi" w:eastAsia="Calibri" w:hAnsiTheme="minorHAnsi" w:cs="Calibri"/>
                <w:sz w:val="22"/>
                <w:szCs w:val="22"/>
              </w:rPr>
              <w:lastRenderedPageBreak/>
              <w:t>Inquiry, and Reporting End Users</w:t>
            </w:r>
          </w:p>
        </w:tc>
        <w:tc>
          <w:tcPr>
            <w:tcW w:w="2532" w:type="dxa"/>
          </w:tcPr>
          <w:p w14:paraId="5A1D80EC" w14:textId="77777777" w:rsidR="00F04E6B" w:rsidRPr="00BE4AD8" w:rsidRDefault="00F04E6B" w:rsidP="00F04E6B">
            <w:pPr>
              <w:rPr>
                <w:rFonts w:asciiTheme="minorHAnsi" w:hAnsiTheme="minorHAnsi"/>
                <w:sz w:val="22"/>
                <w:szCs w:val="22"/>
                <w:lang w:val="en-AU"/>
              </w:rPr>
            </w:pPr>
            <w:r w:rsidRPr="00BE4AD8">
              <w:rPr>
                <w:rFonts w:asciiTheme="minorHAnsi" w:hAnsiTheme="minorHAnsi"/>
                <w:sz w:val="22"/>
                <w:szCs w:val="22"/>
                <w:lang w:val="en-AU"/>
              </w:rPr>
              <w:lastRenderedPageBreak/>
              <w:t xml:space="preserve">In Appendix I, Table 2, total transaction/power/inquiry/reporting users are 17,150.  Presumably nearly all of these users are paid employees, so </w:t>
            </w:r>
            <w:r w:rsidRPr="00BE4AD8">
              <w:rPr>
                <w:rFonts w:asciiTheme="minorHAnsi" w:hAnsiTheme="minorHAnsi"/>
                <w:sz w:val="22"/>
                <w:szCs w:val="22"/>
                <w:lang w:val="en-AU"/>
              </w:rPr>
              <w:lastRenderedPageBreak/>
              <w:t>are they included within the payroll employee numbers mentioned in Question 1 and 2 (i.e. 108,300 current, or 61,627 future self-service)?</w:t>
            </w:r>
          </w:p>
          <w:p w14:paraId="42CC75DE" w14:textId="77777777" w:rsidR="00F04E6B" w:rsidRPr="00BE4AD8" w:rsidRDefault="00F04E6B" w:rsidP="00F04E6B">
            <w:pPr>
              <w:rPr>
                <w:rFonts w:asciiTheme="minorHAnsi" w:hAnsiTheme="minorHAnsi"/>
                <w:sz w:val="22"/>
                <w:szCs w:val="22"/>
                <w:lang w:val="en-AU"/>
              </w:rPr>
            </w:pPr>
          </w:p>
        </w:tc>
        <w:tc>
          <w:tcPr>
            <w:tcW w:w="2520" w:type="dxa"/>
          </w:tcPr>
          <w:p w14:paraId="38D2ADCD" w14:textId="38E7B8C6" w:rsidR="00F04E6B" w:rsidRPr="00BE4AD8" w:rsidRDefault="00F04E6B" w:rsidP="00F04E6B">
            <w:pPr>
              <w:rPr>
                <w:rFonts w:asciiTheme="minorHAnsi" w:hAnsiTheme="minorHAnsi"/>
                <w:sz w:val="22"/>
                <w:szCs w:val="22"/>
              </w:rPr>
            </w:pPr>
            <w:r w:rsidRPr="00BE4AD8">
              <w:rPr>
                <w:rFonts w:asciiTheme="minorHAnsi" w:hAnsiTheme="minorHAnsi"/>
                <w:sz w:val="22"/>
                <w:szCs w:val="22"/>
              </w:rPr>
              <w:lastRenderedPageBreak/>
              <w:t>Please see the response for Question 103 [A].  Yes, the counts of transactional, power, inquiry, and reporting end users are included in Table 1 of Appendix I.</w:t>
            </w:r>
          </w:p>
        </w:tc>
        <w:tc>
          <w:tcPr>
            <w:tcW w:w="2564" w:type="dxa"/>
          </w:tcPr>
          <w:p w14:paraId="05625762" w14:textId="77777777" w:rsidR="00F04E6B" w:rsidRPr="00BE4AD8" w:rsidRDefault="00F04E6B" w:rsidP="00F04E6B">
            <w:pPr>
              <w:ind w:left="66"/>
              <w:rPr>
                <w:rFonts w:asciiTheme="minorHAnsi" w:hAnsiTheme="minorHAnsi"/>
                <w:sz w:val="22"/>
                <w:szCs w:val="22"/>
              </w:rPr>
            </w:pPr>
          </w:p>
        </w:tc>
        <w:tc>
          <w:tcPr>
            <w:tcW w:w="2332" w:type="dxa"/>
          </w:tcPr>
          <w:p w14:paraId="28BF1023" w14:textId="55FF0A99" w:rsidR="00F04E6B" w:rsidRPr="00BE4AD8" w:rsidRDefault="00F04E6B" w:rsidP="00F04E6B">
            <w:pPr>
              <w:ind w:left="12"/>
              <w:rPr>
                <w:rFonts w:asciiTheme="minorHAnsi" w:hAnsiTheme="minorHAnsi"/>
                <w:sz w:val="22"/>
                <w:szCs w:val="22"/>
              </w:rPr>
            </w:pPr>
          </w:p>
        </w:tc>
      </w:tr>
      <w:tr w:rsidR="00F04E6B" w14:paraId="1D714625" w14:textId="77777777" w:rsidTr="00BE4AD8">
        <w:tc>
          <w:tcPr>
            <w:tcW w:w="576" w:type="dxa"/>
          </w:tcPr>
          <w:p w14:paraId="05B2D322" w14:textId="6312A854" w:rsidR="00F04E6B" w:rsidRPr="00BE4AD8" w:rsidRDefault="00F04E6B" w:rsidP="00F04E6B">
            <w:pPr>
              <w:ind w:left="360" w:hanging="408"/>
              <w:rPr>
                <w:rFonts w:asciiTheme="minorHAnsi" w:eastAsia="Calibri" w:hAnsiTheme="minorHAnsi" w:cs="Calibri"/>
                <w:sz w:val="22"/>
                <w:szCs w:val="22"/>
              </w:rPr>
            </w:pPr>
            <w:r w:rsidRPr="00BE4AD8">
              <w:rPr>
                <w:rFonts w:asciiTheme="minorHAnsi" w:eastAsia="Calibri" w:hAnsiTheme="minorHAnsi" w:cs="Calibri"/>
                <w:sz w:val="22"/>
                <w:szCs w:val="22"/>
              </w:rPr>
              <w:t>107</w:t>
            </w:r>
          </w:p>
        </w:tc>
        <w:tc>
          <w:tcPr>
            <w:tcW w:w="1428" w:type="dxa"/>
          </w:tcPr>
          <w:p w14:paraId="385A6BA3" w14:textId="032F1D59" w:rsidR="00F04E6B" w:rsidRPr="00BE4AD8" w:rsidRDefault="00F04E6B" w:rsidP="00F04E6B">
            <w:pPr>
              <w:ind w:left="-18"/>
              <w:rPr>
                <w:rFonts w:asciiTheme="minorHAnsi" w:eastAsia="Calibri" w:hAnsiTheme="minorHAnsi" w:cs="Calibri"/>
                <w:sz w:val="22"/>
                <w:szCs w:val="22"/>
              </w:rPr>
            </w:pPr>
            <w:r w:rsidRPr="00BE4AD8">
              <w:rPr>
                <w:rFonts w:asciiTheme="minorHAnsi" w:eastAsia="Calibri" w:hAnsiTheme="minorHAnsi" w:cs="Calibri"/>
                <w:sz w:val="22"/>
                <w:szCs w:val="22"/>
              </w:rPr>
              <w:t>Main RFP Document, Exhibit 2, “Offerors Library Instructions”, Paragraph 1:  “</w:t>
            </w:r>
            <w:r w:rsidRPr="00BE4AD8">
              <w:rPr>
                <w:rFonts w:asciiTheme="minorHAnsi" w:hAnsiTheme="minorHAnsi"/>
                <w:sz w:val="22"/>
                <w:szCs w:val="22"/>
              </w:rPr>
              <w:t>In order for a vendor to participate in the RFP Process, submit an Offer, and have it evaluated, it must sign and deliver an NDA to the State as set forth below.”</w:t>
            </w:r>
          </w:p>
        </w:tc>
        <w:tc>
          <w:tcPr>
            <w:tcW w:w="2532" w:type="dxa"/>
          </w:tcPr>
          <w:p w14:paraId="41859D86" w14:textId="77777777" w:rsidR="00F04E6B" w:rsidRPr="00BE4AD8" w:rsidRDefault="00F04E6B" w:rsidP="00F04E6B">
            <w:pPr>
              <w:rPr>
                <w:rFonts w:asciiTheme="minorHAnsi" w:hAnsiTheme="minorHAnsi"/>
                <w:sz w:val="22"/>
                <w:szCs w:val="22"/>
              </w:rPr>
            </w:pPr>
            <w:r w:rsidRPr="00BE4AD8">
              <w:rPr>
                <w:rFonts w:asciiTheme="minorHAnsi" w:hAnsiTheme="minorHAnsi"/>
                <w:sz w:val="22"/>
                <w:szCs w:val="22"/>
              </w:rPr>
              <w:t xml:space="preserve">Is the state allowing any edits on the NDA? </w:t>
            </w:r>
          </w:p>
          <w:p w14:paraId="7FE00D19" w14:textId="77777777" w:rsidR="00F04E6B" w:rsidRPr="00BE4AD8" w:rsidRDefault="00F04E6B" w:rsidP="00F04E6B">
            <w:pPr>
              <w:rPr>
                <w:rFonts w:asciiTheme="minorHAnsi" w:hAnsiTheme="minorHAnsi"/>
                <w:sz w:val="22"/>
                <w:szCs w:val="22"/>
                <w:lang w:val="en-AU"/>
              </w:rPr>
            </w:pPr>
          </w:p>
        </w:tc>
        <w:tc>
          <w:tcPr>
            <w:tcW w:w="2520" w:type="dxa"/>
          </w:tcPr>
          <w:p w14:paraId="516383D3" w14:textId="3DF90560" w:rsidR="00F04E6B" w:rsidRPr="00BE4AD8" w:rsidRDefault="00F04E6B" w:rsidP="00F04E6B">
            <w:pPr>
              <w:rPr>
                <w:rFonts w:asciiTheme="minorHAnsi" w:hAnsiTheme="minorHAnsi"/>
                <w:sz w:val="22"/>
                <w:szCs w:val="22"/>
              </w:rPr>
            </w:pPr>
            <w:r w:rsidRPr="00BE4AD8">
              <w:rPr>
                <w:rFonts w:asciiTheme="minorHAnsi" w:hAnsiTheme="minorHAnsi"/>
                <w:sz w:val="22"/>
                <w:szCs w:val="22"/>
              </w:rPr>
              <w:t>The State is not allowing edits to the NDA.  This NDA is solely for gaining access to the Offerors Library.</w:t>
            </w:r>
          </w:p>
        </w:tc>
        <w:tc>
          <w:tcPr>
            <w:tcW w:w="2564" w:type="dxa"/>
          </w:tcPr>
          <w:p w14:paraId="71C50659" w14:textId="77777777" w:rsidR="00F04E6B" w:rsidRPr="00BE4AD8" w:rsidRDefault="00F04E6B" w:rsidP="00F04E6B">
            <w:pPr>
              <w:ind w:left="66"/>
              <w:rPr>
                <w:rFonts w:asciiTheme="minorHAnsi" w:hAnsiTheme="minorHAnsi"/>
                <w:sz w:val="22"/>
                <w:szCs w:val="22"/>
              </w:rPr>
            </w:pPr>
          </w:p>
        </w:tc>
        <w:tc>
          <w:tcPr>
            <w:tcW w:w="2332" w:type="dxa"/>
          </w:tcPr>
          <w:p w14:paraId="2E917639" w14:textId="00269444" w:rsidR="00F04E6B" w:rsidRPr="00BE4AD8" w:rsidRDefault="00F04E6B" w:rsidP="00F04E6B">
            <w:pPr>
              <w:ind w:left="12"/>
              <w:rPr>
                <w:rFonts w:asciiTheme="minorHAnsi" w:hAnsiTheme="minorHAnsi"/>
                <w:sz w:val="22"/>
                <w:szCs w:val="22"/>
              </w:rPr>
            </w:pPr>
          </w:p>
        </w:tc>
      </w:tr>
      <w:tr w:rsidR="00BE4AD8" w14:paraId="6873AE68" w14:textId="77777777" w:rsidTr="00BE4AD8">
        <w:tc>
          <w:tcPr>
            <w:tcW w:w="576" w:type="dxa"/>
          </w:tcPr>
          <w:p w14:paraId="15867956" w14:textId="0B6459FA" w:rsidR="00BE4AD8" w:rsidRPr="00BE4AD8" w:rsidRDefault="00BE4AD8" w:rsidP="00BE4AD8">
            <w:pPr>
              <w:ind w:left="360" w:hanging="408"/>
              <w:rPr>
                <w:rFonts w:asciiTheme="minorHAnsi" w:eastAsia="Calibri" w:hAnsiTheme="minorHAnsi" w:cs="Calibri"/>
                <w:sz w:val="22"/>
                <w:szCs w:val="22"/>
              </w:rPr>
            </w:pPr>
            <w:r w:rsidRPr="00BE4AD8">
              <w:rPr>
                <w:rFonts w:asciiTheme="minorHAnsi" w:eastAsia="Calibri" w:hAnsiTheme="minorHAnsi" w:cs="Calibri"/>
                <w:sz w:val="22"/>
                <w:szCs w:val="22"/>
              </w:rPr>
              <w:t>108</w:t>
            </w:r>
          </w:p>
        </w:tc>
        <w:tc>
          <w:tcPr>
            <w:tcW w:w="1428" w:type="dxa"/>
          </w:tcPr>
          <w:p w14:paraId="62E98A11" w14:textId="3FB74032" w:rsidR="00BE4AD8" w:rsidRPr="00BE4AD8" w:rsidRDefault="00BE4AD8" w:rsidP="00BE4AD8">
            <w:pPr>
              <w:ind w:left="-18"/>
              <w:rPr>
                <w:rFonts w:asciiTheme="minorHAnsi" w:eastAsia="Calibri" w:hAnsiTheme="minorHAnsi" w:cs="Calibri"/>
                <w:sz w:val="22"/>
                <w:szCs w:val="22"/>
              </w:rPr>
            </w:pPr>
            <w:r w:rsidRPr="00BE4AD8">
              <w:rPr>
                <w:rFonts w:asciiTheme="minorHAnsi" w:eastAsia="Calibri" w:hAnsiTheme="minorHAnsi" w:cs="Calibri"/>
                <w:sz w:val="22"/>
                <w:szCs w:val="22"/>
              </w:rPr>
              <w:t>Main RFP Document, Section 11.7</w:t>
            </w:r>
          </w:p>
        </w:tc>
        <w:tc>
          <w:tcPr>
            <w:tcW w:w="2532" w:type="dxa"/>
          </w:tcPr>
          <w:p w14:paraId="3462A65D" w14:textId="7426953A" w:rsidR="00BE4AD8" w:rsidRPr="00BE4AD8" w:rsidRDefault="00BE4AD8" w:rsidP="00BE4AD8">
            <w:pPr>
              <w:rPr>
                <w:rFonts w:asciiTheme="minorHAnsi" w:hAnsiTheme="minorHAnsi"/>
                <w:sz w:val="22"/>
                <w:szCs w:val="22"/>
              </w:rPr>
            </w:pPr>
            <w:r w:rsidRPr="00BE4AD8">
              <w:rPr>
                <w:rFonts w:asciiTheme="minorHAnsi" w:hAnsiTheme="minorHAnsi"/>
                <w:sz w:val="22"/>
                <w:szCs w:val="22"/>
              </w:rPr>
              <w:t>Could you please confirm that the shipping address for RFP-ERP16001 is the same as the address listed for the Pre-Bid Conference?</w:t>
            </w:r>
          </w:p>
        </w:tc>
        <w:tc>
          <w:tcPr>
            <w:tcW w:w="2520" w:type="dxa"/>
          </w:tcPr>
          <w:p w14:paraId="0737D4D3" w14:textId="77777777" w:rsidR="00BE4AD8" w:rsidRPr="00BE4AD8" w:rsidRDefault="00BE4AD8" w:rsidP="00BE4AD8">
            <w:pPr>
              <w:rPr>
                <w:rFonts w:asciiTheme="minorHAnsi" w:hAnsiTheme="minorHAnsi"/>
                <w:sz w:val="22"/>
                <w:szCs w:val="22"/>
              </w:rPr>
            </w:pPr>
            <w:r w:rsidRPr="00BE4AD8">
              <w:rPr>
                <w:rFonts w:asciiTheme="minorHAnsi" w:hAnsiTheme="minorHAnsi"/>
                <w:sz w:val="22"/>
                <w:szCs w:val="22"/>
              </w:rPr>
              <w:t xml:space="preserve">The mailing address to submit proposals to is: </w:t>
            </w:r>
          </w:p>
          <w:p w14:paraId="03EC54C9" w14:textId="77777777" w:rsidR="00BE4AD8" w:rsidRPr="00BE4AD8" w:rsidRDefault="00BE4AD8" w:rsidP="00BE4AD8">
            <w:pPr>
              <w:rPr>
                <w:rFonts w:asciiTheme="minorHAnsi" w:hAnsiTheme="minorHAnsi"/>
                <w:sz w:val="22"/>
                <w:szCs w:val="22"/>
              </w:rPr>
            </w:pPr>
            <w:r w:rsidRPr="00BE4AD8">
              <w:rPr>
                <w:rFonts w:asciiTheme="minorHAnsi" w:hAnsiTheme="minorHAnsi"/>
                <w:sz w:val="22"/>
                <w:szCs w:val="22"/>
              </w:rPr>
              <w:t>State of Hawaii Office of the Comptroller,</w:t>
            </w:r>
          </w:p>
          <w:p w14:paraId="1C7D43FE" w14:textId="11A9B93B" w:rsidR="00BE4AD8" w:rsidRPr="00BE4AD8" w:rsidRDefault="00BE4AD8" w:rsidP="00BE4AD8">
            <w:pPr>
              <w:rPr>
                <w:rFonts w:asciiTheme="minorHAnsi" w:hAnsiTheme="minorHAnsi"/>
                <w:sz w:val="22"/>
                <w:szCs w:val="22"/>
              </w:rPr>
            </w:pPr>
            <w:r w:rsidRPr="00BE4AD8">
              <w:rPr>
                <w:rFonts w:asciiTheme="minorHAnsi" w:hAnsiTheme="minorHAnsi"/>
                <w:sz w:val="22"/>
                <w:szCs w:val="22"/>
              </w:rPr>
              <w:t>1151 Punchbowl Stre</w:t>
            </w:r>
            <w:r w:rsidR="00E37D01">
              <w:rPr>
                <w:rFonts w:asciiTheme="minorHAnsi" w:hAnsiTheme="minorHAnsi"/>
                <w:sz w:val="22"/>
                <w:szCs w:val="22"/>
              </w:rPr>
              <w:t>et Room 400, Honolulu, HI 96813 ATTN: Procurement Officer RFP-ERP16001</w:t>
            </w:r>
          </w:p>
          <w:p w14:paraId="0CA617C1" w14:textId="77777777" w:rsidR="00BE4AD8" w:rsidRPr="00BE4AD8" w:rsidRDefault="00BE4AD8" w:rsidP="00BE4AD8">
            <w:pPr>
              <w:rPr>
                <w:rFonts w:asciiTheme="minorHAnsi" w:hAnsiTheme="minorHAnsi"/>
                <w:sz w:val="22"/>
                <w:szCs w:val="22"/>
              </w:rPr>
            </w:pPr>
          </w:p>
          <w:p w14:paraId="4794FEBF" w14:textId="5AEA0E98" w:rsidR="00BE4AD8" w:rsidRPr="00BE4AD8" w:rsidRDefault="00BE4AD8" w:rsidP="00BE4AD8">
            <w:pPr>
              <w:rPr>
                <w:rFonts w:asciiTheme="minorHAnsi" w:hAnsiTheme="minorHAnsi"/>
                <w:sz w:val="22"/>
                <w:szCs w:val="22"/>
              </w:rPr>
            </w:pPr>
            <w:r w:rsidRPr="00BE4AD8">
              <w:rPr>
                <w:rFonts w:asciiTheme="minorHAnsi" w:hAnsiTheme="minorHAnsi"/>
                <w:sz w:val="22"/>
                <w:szCs w:val="22"/>
              </w:rPr>
              <w:t>Detailed revisions to the requirements for submission of Offers will be released shortly as part of Addendum 6.</w:t>
            </w:r>
          </w:p>
        </w:tc>
        <w:tc>
          <w:tcPr>
            <w:tcW w:w="2564" w:type="dxa"/>
          </w:tcPr>
          <w:p w14:paraId="39FDD1BC" w14:textId="77777777" w:rsidR="00BE4AD8" w:rsidRPr="00BE4AD8" w:rsidRDefault="00BE4AD8" w:rsidP="00BE4AD8">
            <w:pPr>
              <w:ind w:left="66"/>
              <w:rPr>
                <w:rFonts w:asciiTheme="minorHAnsi" w:hAnsiTheme="minorHAnsi"/>
                <w:sz w:val="22"/>
                <w:szCs w:val="22"/>
              </w:rPr>
            </w:pPr>
          </w:p>
        </w:tc>
        <w:tc>
          <w:tcPr>
            <w:tcW w:w="2332" w:type="dxa"/>
          </w:tcPr>
          <w:p w14:paraId="5963E5CC" w14:textId="08499EF9" w:rsidR="00BE4AD8" w:rsidRPr="00BE4AD8" w:rsidRDefault="00BE4AD8" w:rsidP="00BE4AD8">
            <w:pPr>
              <w:ind w:left="12"/>
              <w:rPr>
                <w:rFonts w:asciiTheme="minorHAnsi" w:hAnsiTheme="minorHAnsi"/>
                <w:sz w:val="22"/>
                <w:szCs w:val="22"/>
              </w:rPr>
            </w:pPr>
          </w:p>
        </w:tc>
      </w:tr>
      <w:tr w:rsidR="00BE4AD8" w14:paraId="75A7EC74" w14:textId="77777777" w:rsidTr="00BE4AD8">
        <w:tc>
          <w:tcPr>
            <w:tcW w:w="576" w:type="dxa"/>
          </w:tcPr>
          <w:p w14:paraId="7CD0ADBD" w14:textId="4DF5A3A0" w:rsidR="00BE4AD8" w:rsidRPr="00BE4AD8" w:rsidRDefault="00BE4AD8" w:rsidP="00BE4AD8">
            <w:pPr>
              <w:ind w:left="360" w:hanging="408"/>
              <w:rPr>
                <w:rFonts w:asciiTheme="minorHAnsi" w:eastAsia="Calibri" w:hAnsiTheme="minorHAnsi" w:cs="Calibri"/>
                <w:sz w:val="22"/>
                <w:szCs w:val="22"/>
              </w:rPr>
            </w:pPr>
            <w:r w:rsidRPr="00BE4AD8">
              <w:rPr>
                <w:rFonts w:asciiTheme="minorHAnsi" w:eastAsia="Calibri" w:hAnsiTheme="minorHAnsi" w:cs="Calibri"/>
                <w:sz w:val="22"/>
                <w:szCs w:val="22"/>
              </w:rPr>
              <w:t>109</w:t>
            </w:r>
          </w:p>
        </w:tc>
        <w:tc>
          <w:tcPr>
            <w:tcW w:w="1428" w:type="dxa"/>
          </w:tcPr>
          <w:p w14:paraId="6CA63873" w14:textId="5EBA9544" w:rsidR="00BE4AD8" w:rsidRPr="00BE4AD8" w:rsidRDefault="00BE4AD8" w:rsidP="00BE4AD8">
            <w:pPr>
              <w:ind w:left="-18"/>
              <w:rPr>
                <w:rFonts w:asciiTheme="minorHAnsi" w:eastAsia="Calibri" w:hAnsiTheme="minorHAnsi" w:cs="Calibri"/>
                <w:sz w:val="22"/>
                <w:szCs w:val="22"/>
              </w:rPr>
            </w:pPr>
            <w:r w:rsidRPr="00BE4AD8">
              <w:rPr>
                <w:rFonts w:asciiTheme="minorHAnsi" w:eastAsia="Calibri" w:hAnsiTheme="minorHAnsi" w:cs="Calibri"/>
                <w:sz w:val="22"/>
                <w:szCs w:val="22"/>
              </w:rPr>
              <w:t xml:space="preserve">Appendix A, Offer Response </w:t>
            </w:r>
            <w:r w:rsidRPr="00BE4AD8">
              <w:rPr>
                <w:rFonts w:asciiTheme="minorHAnsi" w:eastAsia="Calibri" w:hAnsiTheme="minorHAnsi" w:cs="Calibri"/>
                <w:sz w:val="22"/>
                <w:szCs w:val="22"/>
              </w:rPr>
              <w:lastRenderedPageBreak/>
              <w:t>Form, Section 5.2, Offeror References</w:t>
            </w:r>
          </w:p>
        </w:tc>
        <w:tc>
          <w:tcPr>
            <w:tcW w:w="2532" w:type="dxa"/>
          </w:tcPr>
          <w:p w14:paraId="3FD0794E" w14:textId="36FD307D" w:rsidR="00BE4AD8" w:rsidRPr="00BE4AD8" w:rsidRDefault="00BE4AD8" w:rsidP="00BE4AD8">
            <w:pPr>
              <w:rPr>
                <w:rFonts w:asciiTheme="minorHAnsi" w:hAnsiTheme="minorHAnsi"/>
                <w:sz w:val="22"/>
                <w:szCs w:val="22"/>
              </w:rPr>
            </w:pPr>
            <w:r w:rsidRPr="00BE4AD8">
              <w:rPr>
                <w:rFonts w:asciiTheme="minorHAnsi" w:hAnsiTheme="minorHAnsi"/>
                <w:color w:val="000000"/>
                <w:sz w:val="22"/>
                <w:szCs w:val="22"/>
              </w:rPr>
              <w:lastRenderedPageBreak/>
              <w:t xml:space="preserve">Will the State be notifying vendors when Part 2 of the reference </w:t>
            </w:r>
            <w:r w:rsidRPr="00BE4AD8">
              <w:rPr>
                <w:rFonts w:asciiTheme="minorHAnsi" w:hAnsiTheme="minorHAnsi"/>
                <w:color w:val="000000"/>
                <w:sz w:val="22"/>
                <w:szCs w:val="22"/>
              </w:rPr>
              <w:lastRenderedPageBreak/>
              <w:t>forms are successfully received by the State from a client?</w:t>
            </w:r>
          </w:p>
        </w:tc>
        <w:tc>
          <w:tcPr>
            <w:tcW w:w="2520" w:type="dxa"/>
          </w:tcPr>
          <w:p w14:paraId="3BCA83F9" w14:textId="2A39FCA2" w:rsidR="00BE4AD8" w:rsidRPr="00BE4AD8" w:rsidRDefault="00BE4AD8" w:rsidP="00BE4AD8">
            <w:pPr>
              <w:rPr>
                <w:rFonts w:asciiTheme="minorHAnsi" w:hAnsiTheme="minorHAnsi"/>
                <w:sz w:val="22"/>
                <w:szCs w:val="22"/>
              </w:rPr>
            </w:pPr>
            <w:r w:rsidRPr="00BE4AD8">
              <w:rPr>
                <w:rFonts w:asciiTheme="minorHAnsi" w:hAnsiTheme="minorHAnsi"/>
                <w:sz w:val="22"/>
                <w:szCs w:val="22"/>
              </w:rPr>
              <w:lastRenderedPageBreak/>
              <w:t xml:space="preserve">Offerors should contact their references for confirmation that Section </w:t>
            </w:r>
            <w:r w:rsidRPr="00BE4AD8">
              <w:rPr>
                <w:rFonts w:asciiTheme="minorHAnsi" w:hAnsiTheme="minorHAnsi"/>
                <w:sz w:val="22"/>
                <w:szCs w:val="22"/>
              </w:rPr>
              <w:lastRenderedPageBreak/>
              <w:t>2 has been sent to the State.  The State will contact Offerors regarding references only if there are questions on the information submitted.</w:t>
            </w:r>
          </w:p>
        </w:tc>
        <w:tc>
          <w:tcPr>
            <w:tcW w:w="2564" w:type="dxa"/>
          </w:tcPr>
          <w:p w14:paraId="6335AABE" w14:textId="77777777" w:rsidR="00BE4AD8" w:rsidRPr="00BE4AD8" w:rsidRDefault="00BE4AD8" w:rsidP="00BE4AD8">
            <w:pPr>
              <w:ind w:left="66"/>
              <w:rPr>
                <w:rFonts w:asciiTheme="minorHAnsi" w:hAnsiTheme="minorHAnsi"/>
                <w:sz w:val="22"/>
                <w:szCs w:val="22"/>
              </w:rPr>
            </w:pPr>
          </w:p>
        </w:tc>
        <w:tc>
          <w:tcPr>
            <w:tcW w:w="2332" w:type="dxa"/>
          </w:tcPr>
          <w:p w14:paraId="1CE41936" w14:textId="5C80A2E2" w:rsidR="00BE4AD8" w:rsidRPr="00BE4AD8" w:rsidRDefault="00BE4AD8" w:rsidP="00BE4AD8">
            <w:pPr>
              <w:ind w:left="12"/>
              <w:rPr>
                <w:rFonts w:asciiTheme="minorHAnsi" w:hAnsiTheme="minorHAnsi"/>
                <w:sz w:val="22"/>
                <w:szCs w:val="22"/>
              </w:rPr>
            </w:pPr>
          </w:p>
        </w:tc>
      </w:tr>
      <w:tr w:rsidR="00BE4AD8" w14:paraId="742B8CF0" w14:textId="77777777" w:rsidTr="00BE4AD8">
        <w:tc>
          <w:tcPr>
            <w:tcW w:w="576" w:type="dxa"/>
          </w:tcPr>
          <w:p w14:paraId="72799E4F" w14:textId="10239176" w:rsidR="00BE4AD8" w:rsidRPr="00BE4AD8" w:rsidRDefault="00BE4AD8" w:rsidP="00BE4AD8">
            <w:pPr>
              <w:ind w:left="360" w:hanging="408"/>
              <w:rPr>
                <w:rFonts w:asciiTheme="minorHAnsi" w:eastAsia="Calibri" w:hAnsiTheme="minorHAnsi" w:cs="Calibri"/>
                <w:sz w:val="22"/>
                <w:szCs w:val="22"/>
              </w:rPr>
            </w:pPr>
            <w:r w:rsidRPr="00BE4AD8">
              <w:rPr>
                <w:rFonts w:asciiTheme="minorHAnsi" w:eastAsia="Calibri" w:hAnsiTheme="minorHAnsi" w:cs="Calibri"/>
                <w:sz w:val="22"/>
                <w:szCs w:val="22"/>
              </w:rPr>
              <w:t>110</w:t>
            </w:r>
          </w:p>
        </w:tc>
        <w:tc>
          <w:tcPr>
            <w:tcW w:w="1428" w:type="dxa"/>
          </w:tcPr>
          <w:p w14:paraId="3EBB2DEB" w14:textId="08D83FC2" w:rsidR="00BE4AD8" w:rsidRPr="00BE4AD8" w:rsidRDefault="00BE4AD8" w:rsidP="00BE4AD8">
            <w:pPr>
              <w:ind w:left="-18"/>
              <w:rPr>
                <w:rFonts w:asciiTheme="minorHAnsi" w:eastAsia="Calibri" w:hAnsiTheme="minorHAnsi" w:cs="Calibri"/>
                <w:sz w:val="22"/>
                <w:szCs w:val="22"/>
              </w:rPr>
            </w:pPr>
            <w:r w:rsidRPr="00BE4AD8">
              <w:rPr>
                <w:rFonts w:asciiTheme="minorHAnsi" w:eastAsia="Calibri" w:hAnsiTheme="minorHAnsi" w:cs="Calibri"/>
                <w:sz w:val="22"/>
                <w:szCs w:val="22"/>
              </w:rPr>
              <w:t>Appendix L; Cost Workbook.  Appendix A, Section 10.0, Offer Checklist</w:t>
            </w:r>
          </w:p>
        </w:tc>
        <w:tc>
          <w:tcPr>
            <w:tcW w:w="2532" w:type="dxa"/>
          </w:tcPr>
          <w:p w14:paraId="6B129B2A" w14:textId="77777777" w:rsidR="00BE4AD8" w:rsidRPr="00BE4AD8" w:rsidRDefault="00BE4AD8" w:rsidP="00BE4AD8">
            <w:pPr>
              <w:rPr>
                <w:rFonts w:asciiTheme="minorHAnsi" w:hAnsiTheme="minorHAnsi"/>
                <w:color w:val="000000"/>
                <w:sz w:val="22"/>
                <w:szCs w:val="22"/>
              </w:rPr>
            </w:pPr>
            <w:r w:rsidRPr="00BE4AD8">
              <w:rPr>
                <w:rFonts w:asciiTheme="minorHAnsi" w:hAnsiTheme="minorHAnsi"/>
                <w:color w:val="000000"/>
                <w:sz w:val="22"/>
                <w:szCs w:val="22"/>
              </w:rPr>
              <w:t>As we are working on the Pricing document (appendix L) it appears that the format that the State is asking for costs does not fit our business model or pricing structure in a true SASS method.  Would the State be open to receiving our pricing in an alternate format if it includes all costs, including implementation, ongoing services etc as called out in the RFP?  Or can we attach a second pricing document that outlines our model as something to reference?</w:t>
            </w:r>
          </w:p>
          <w:p w14:paraId="2DDD5588" w14:textId="77777777" w:rsidR="00BE4AD8" w:rsidRPr="00BE4AD8" w:rsidRDefault="00BE4AD8" w:rsidP="00BE4AD8">
            <w:pPr>
              <w:rPr>
                <w:rFonts w:asciiTheme="minorHAnsi" w:hAnsiTheme="minorHAnsi"/>
                <w:color w:val="000000"/>
                <w:sz w:val="22"/>
                <w:szCs w:val="22"/>
              </w:rPr>
            </w:pPr>
          </w:p>
        </w:tc>
        <w:tc>
          <w:tcPr>
            <w:tcW w:w="2520" w:type="dxa"/>
          </w:tcPr>
          <w:p w14:paraId="43D7821C" w14:textId="77777777" w:rsidR="00BE4AD8" w:rsidRPr="00BE4AD8" w:rsidRDefault="00BE4AD8" w:rsidP="00BE4AD8">
            <w:pPr>
              <w:rPr>
                <w:rFonts w:asciiTheme="minorHAnsi" w:hAnsiTheme="minorHAnsi"/>
                <w:sz w:val="22"/>
                <w:szCs w:val="22"/>
              </w:rPr>
            </w:pPr>
            <w:r w:rsidRPr="00BE4AD8">
              <w:rPr>
                <w:rFonts w:asciiTheme="minorHAnsi" w:hAnsiTheme="minorHAnsi"/>
                <w:sz w:val="22"/>
                <w:szCs w:val="22"/>
              </w:rPr>
              <w:t>The use of the cost workbook as part of the offer response will allow the State to fairly and accurately evaluate all offerors’ responses, independent of a vendor’s suggested platform, infrastructure and pricing model. The State requires that all offerors complete the cost workbook in its entirety.  Offerors may submit additional information regarding their pricing methodology as one of the optional Attachments 16 through 22.</w:t>
            </w:r>
          </w:p>
          <w:p w14:paraId="1F270EFC" w14:textId="77777777" w:rsidR="00BE4AD8" w:rsidRPr="00BE4AD8" w:rsidRDefault="00BE4AD8" w:rsidP="00BE4AD8">
            <w:pPr>
              <w:rPr>
                <w:rFonts w:asciiTheme="minorHAnsi" w:hAnsiTheme="minorHAnsi"/>
                <w:sz w:val="22"/>
                <w:szCs w:val="22"/>
              </w:rPr>
            </w:pPr>
          </w:p>
        </w:tc>
        <w:tc>
          <w:tcPr>
            <w:tcW w:w="2564" w:type="dxa"/>
          </w:tcPr>
          <w:p w14:paraId="3876A573" w14:textId="77777777" w:rsidR="00BE4AD8" w:rsidRPr="00BE4AD8" w:rsidRDefault="00BE4AD8" w:rsidP="00BE4AD8">
            <w:pPr>
              <w:ind w:left="66"/>
              <w:rPr>
                <w:rFonts w:asciiTheme="minorHAnsi" w:hAnsiTheme="minorHAnsi"/>
                <w:sz w:val="22"/>
                <w:szCs w:val="22"/>
              </w:rPr>
            </w:pPr>
          </w:p>
        </w:tc>
        <w:tc>
          <w:tcPr>
            <w:tcW w:w="2332" w:type="dxa"/>
          </w:tcPr>
          <w:p w14:paraId="3AB606B1" w14:textId="17075A65" w:rsidR="00BE4AD8" w:rsidRPr="00BE4AD8" w:rsidRDefault="00BE4AD8" w:rsidP="00BE4AD8">
            <w:pPr>
              <w:ind w:left="12"/>
              <w:rPr>
                <w:rFonts w:asciiTheme="minorHAnsi" w:hAnsiTheme="minorHAnsi"/>
                <w:sz w:val="22"/>
                <w:szCs w:val="22"/>
              </w:rPr>
            </w:pPr>
          </w:p>
        </w:tc>
      </w:tr>
      <w:tr w:rsidR="00BE4AD8" w14:paraId="6AD83221" w14:textId="77777777" w:rsidTr="00BE4AD8">
        <w:tc>
          <w:tcPr>
            <w:tcW w:w="576" w:type="dxa"/>
          </w:tcPr>
          <w:p w14:paraId="790FBDFF" w14:textId="5FC94140" w:rsidR="00BE4AD8" w:rsidRPr="00BE4AD8" w:rsidRDefault="00BE4AD8" w:rsidP="00BE4AD8">
            <w:pPr>
              <w:ind w:left="360" w:hanging="408"/>
              <w:rPr>
                <w:rFonts w:asciiTheme="minorHAnsi" w:eastAsia="Calibri" w:hAnsiTheme="minorHAnsi" w:cs="Calibri"/>
                <w:sz w:val="22"/>
                <w:szCs w:val="22"/>
              </w:rPr>
            </w:pPr>
            <w:r w:rsidRPr="00BE4AD8">
              <w:rPr>
                <w:rFonts w:asciiTheme="minorHAnsi" w:eastAsia="Calibri" w:hAnsiTheme="minorHAnsi" w:cs="Calibri"/>
                <w:sz w:val="22"/>
                <w:szCs w:val="22"/>
              </w:rPr>
              <w:t>111</w:t>
            </w:r>
          </w:p>
        </w:tc>
        <w:tc>
          <w:tcPr>
            <w:tcW w:w="1428" w:type="dxa"/>
          </w:tcPr>
          <w:p w14:paraId="6BF8D652" w14:textId="045C9723" w:rsidR="00BE4AD8" w:rsidRPr="00BE4AD8" w:rsidRDefault="00BE4AD8" w:rsidP="00BE4AD8">
            <w:pPr>
              <w:ind w:left="-18"/>
              <w:rPr>
                <w:rFonts w:asciiTheme="minorHAnsi" w:eastAsia="Calibri" w:hAnsiTheme="minorHAnsi" w:cs="Calibri"/>
                <w:sz w:val="22"/>
                <w:szCs w:val="22"/>
              </w:rPr>
            </w:pPr>
            <w:r w:rsidRPr="00BE4AD8">
              <w:rPr>
                <w:rFonts w:asciiTheme="minorHAnsi" w:eastAsia="Calibri" w:hAnsiTheme="minorHAnsi" w:cs="Calibri"/>
                <w:sz w:val="22"/>
                <w:szCs w:val="22"/>
              </w:rPr>
              <w:t>Main RFP Document, Section 5, Guiding Objectives for the EPS Requested Under This RFP</w:t>
            </w:r>
          </w:p>
        </w:tc>
        <w:tc>
          <w:tcPr>
            <w:tcW w:w="2532" w:type="dxa"/>
          </w:tcPr>
          <w:p w14:paraId="4442FD34" w14:textId="6F1EC386" w:rsidR="00BE4AD8" w:rsidRPr="00BE4AD8" w:rsidRDefault="00BE4AD8" w:rsidP="00BE4AD8">
            <w:pPr>
              <w:rPr>
                <w:rFonts w:asciiTheme="minorHAnsi" w:hAnsiTheme="minorHAnsi"/>
                <w:color w:val="000000"/>
                <w:sz w:val="22"/>
                <w:szCs w:val="22"/>
              </w:rPr>
            </w:pPr>
            <w:r w:rsidRPr="00BE4AD8">
              <w:rPr>
                <w:rFonts w:asciiTheme="minorHAnsi" w:hAnsiTheme="minorHAnsi"/>
                <w:sz w:val="22"/>
                <w:szCs w:val="22"/>
              </w:rPr>
              <w:t>Is it possible for us to bid on only the Timekeeping portion and not the Payroll?</w:t>
            </w:r>
          </w:p>
        </w:tc>
        <w:tc>
          <w:tcPr>
            <w:tcW w:w="2520" w:type="dxa"/>
          </w:tcPr>
          <w:p w14:paraId="58F87FA4" w14:textId="0A3FD329" w:rsidR="00BE4AD8" w:rsidRPr="00BE4AD8" w:rsidRDefault="00BE4AD8" w:rsidP="00BE4AD8">
            <w:pPr>
              <w:rPr>
                <w:rFonts w:asciiTheme="minorHAnsi" w:hAnsiTheme="minorHAnsi"/>
                <w:sz w:val="22"/>
                <w:szCs w:val="22"/>
              </w:rPr>
            </w:pPr>
            <w:r w:rsidRPr="00BE4AD8">
              <w:rPr>
                <w:rFonts w:asciiTheme="minorHAnsi" w:hAnsiTheme="minorHAnsi"/>
                <w:sz w:val="22"/>
                <w:szCs w:val="22"/>
              </w:rPr>
              <w:t>The State has certain objectives for the EPS that the Offeror must meet with its EPS System and EPS Services.  Each Offeror must include in its Offer how it will satisfy all of the State’s objectives, including implementing payroll services for all jurisdictions of the State of Hawaii.</w:t>
            </w:r>
            <w:r w:rsidRPr="00BE4AD8">
              <w:rPr>
                <w:rFonts w:asciiTheme="minorHAnsi" w:hAnsiTheme="minorHAnsi"/>
                <w:color w:val="1F497D"/>
                <w:sz w:val="22"/>
                <w:szCs w:val="22"/>
              </w:rPr>
              <w:t xml:space="preserve"> </w:t>
            </w:r>
          </w:p>
        </w:tc>
        <w:tc>
          <w:tcPr>
            <w:tcW w:w="2564" w:type="dxa"/>
          </w:tcPr>
          <w:p w14:paraId="5045A8EB" w14:textId="77777777" w:rsidR="00BE4AD8" w:rsidRPr="00BE4AD8" w:rsidRDefault="00BE4AD8" w:rsidP="00BE4AD8">
            <w:pPr>
              <w:ind w:left="66"/>
              <w:rPr>
                <w:rFonts w:asciiTheme="minorHAnsi" w:hAnsiTheme="minorHAnsi"/>
                <w:sz w:val="22"/>
                <w:szCs w:val="22"/>
              </w:rPr>
            </w:pPr>
          </w:p>
        </w:tc>
        <w:tc>
          <w:tcPr>
            <w:tcW w:w="2332" w:type="dxa"/>
          </w:tcPr>
          <w:p w14:paraId="1B6E2042" w14:textId="342DE57A" w:rsidR="00BE4AD8" w:rsidRPr="00BE4AD8" w:rsidRDefault="00BE4AD8" w:rsidP="00BE4AD8">
            <w:pPr>
              <w:ind w:left="12"/>
              <w:rPr>
                <w:rFonts w:asciiTheme="minorHAnsi" w:hAnsiTheme="minorHAnsi"/>
                <w:sz w:val="22"/>
                <w:szCs w:val="22"/>
              </w:rPr>
            </w:pPr>
          </w:p>
        </w:tc>
      </w:tr>
      <w:tr w:rsidR="00BE4AD8" w14:paraId="7123B1CB" w14:textId="77777777" w:rsidTr="00BE4AD8">
        <w:tc>
          <w:tcPr>
            <w:tcW w:w="576" w:type="dxa"/>
          </w:tcPr>
          <w:p w14:paraId="767396F1" w14:textId="17EA3D90" w:rsidR="00BE4AD8" w:rsidRPr="00BE4AD8" w:rsidRDefault="00BE4AD8" w:rsidP="00BE4AD8">
            <w:pPr>
              <w:ind w:left="360" w:hanging="408"/>
              <w:rPr>
                <w:rFonts w:asciiTheme="minorHAnsi" w:eastAsia="Calibri" w:hAnsiTheme="minorHAnsi" w:cs="Calibri"/>
                <w:sz w:val="22"/>
                <w:szCs w:val="22"/>
              </w:rPr>
            </w:pPr>
            <w:r w:rsidRPr="00BE4AD8">
              <w:rPr>
                <w:rFonts w:asciiTheme="minorHAnsi" w:eastAsia="Calibri" w:hAnsiTheme="minorHAnsi" w:cs="Calibri"/>
                <w:sz w:val="22"/>
                <w:szCs w:val="22"/>
              </w:rPr>
              <w:t>112</w:t>
            </w:r>
          </w:p>
        </w:tc>
        <w:tc>
          <w:tcPr>
            <w:tcW w:w="1428" w:type="dxa"/>
          </w:tcPr>
          <w:p w14:paraId="4B728BA5" w14:textId="2983ABB2" w:rsidR="00BE4AD8" w:rsidRPr="00BE4AD8" w:rsidRDefault="00BE4AD8" w:rsidP="00BE4AD8">
            <w:pPr>
              <w:ind w:left="-18"/>
              <w:rPr>
                <w:rFonts w:asciiTheme="minorHAnsi" w:eastAsia="Calibri" w:hAnsiTheme="minorHAnsi" w:cs="Calibri"/>
                <w:sz w:val="22"/>
                <w:szCs w:val="22"/>
              </w:rPr>
            </w:pPr>
            <w:r w:rsidRPr="00BE4AD8">
              <w:rPr>
                <w:rFonts w:asciiTheme="minorHAnsi" w:hAnsiTheme="minorHAnsi"/>
                <w:sz w:val="22"/>
                <w:szCs w:val="22"/>
              </w:rPr>
              <w:t>Main RFP Document, Page 23, Section 11.8, Second Paragraph</w:t>
            </w:r>
          </w:p>
        </w:tc>
        <w:tc>
          <w:tcPr>
            <w:tcW w:w="2532" w:type="dxa"/>
          </w:tcPr>
          <w:p w14:paraId="04640898" w14:textId="3B5E8895" w:rsidR="00BE4AD8" w:rsidRPr="00BE4AD8" w:rsidRDefault="00BE4AD8" w:rsidP="00BE4AD8">
            <w:pPr>
              <w:rPr>
                <w:rFonts w:asciiTheme="minorHAnsi" w:hAnsiTheme="minorHAnsi"/>
                <w:sz w:val="22"/>
                <w:szCs w:val="22"/>
              </w:rPr>
            </w:pPr>
            <w:r w:rsidRPr="00BE4AD8">
              <w:rPr>
                <w:rFonts w:asciiTheme="minorHAnsi" w:hAnsiTheme="minorHAnsi"/>
                <w:sz w:val="22"/>
                <w:szCs w:val="22"/>
              </w:rPr>
              <w:t xml:space="preserve">Company A is acquiring Company B’s application management business on 4/1/16.  The Letter of Intent that was submitted in response to </w:t>
            </w:r>
            <w:r w:rsidRPr="00BE4AD8">
              <w:rPr>
                <w:rFonts w:asciiTheme="minorHAnsi" w:hAnsiTheme="minorHAnsi"/>
                <w:sz w:val="22"/>
                <w:szCs w:val="22"/>
              </w:rPr>
              <w:lastRenderedPageBreak/>
              <w:t>the State’s RFP was a Company A letter stating that both Company A and Company B would jointly collaborate on the response.  Since the due date of the response is 4/4/16, the entity that would be responding is Company B.  Is the State open to a Company B-only response?  Being that the timing of the bid was in the midst of the business acquisition, we respectfully would ask for an extension for the bid response.  </w:t>
            </w:r>
          </w:p>
        </w:tc>
        <w:tc>
          <w:tcPr>
            <w:tcW w:w="2520" w:type="dxa"/>
          </w:tcPr>
          <w:p w14:paraId="0CAA65EB" w14:textId="34AA8975" w:rsidR="00BE4AD8" w:rsidRPr="00BE4AD8" w:rsidRDefault="00BE4AD8" w:rsidP="00BE4AD8">
            <w:pPr>
              <w:rPr>
                <w:rFonts w:asciiTheme="minorHAnsi" w:hAnsiTheme="minorHAnsi"/>
                <w:sz w:val="22"/>
                <w:szCs w:val="22"/>
              </w:rPr>
            </w:pPr>
            <w:r w:rsidRPr="00BE4AD8">
              <w:rPr>
                <w:rFonts w:asciiTheme="minorHAnsi" w:hAnsiTheme="minorHAnsi"/>
                <w:sz w:val="22"/>
                <w:szCs w:val="22"/>
              </w:rPr>
              <w:lastRenderedPageBreak/>
              <w:t xml:space="preserve">Please refer to the follow-up response for Question 1.  Being that the Letter of Intent to Submit Offer is non-binding (Main RFP </w:t>
            </w:r>
            <w:r w:rsidRPr="00BE4AD8">
              <w:rPr>
                <w:rFonts w:asciiTheme="minorHAnsi" w:hAnsiTheme="minorHAnsi"/>
                <w:sz w:val="22"/>
                <w:szCs w:val="22"/>
              </w:rPr>
              <w:lastRenderedPageBreak/>
              <w:t>document, Section 10.4), Offerors are not held to submitting an offer in the approach described in said letter.  Regarding an extension, please refer to Question 85, including its follow-up response.</w:t>
            </w:r>
          </w:p>
        </w:tc>
        <w:tc>
          <w:tcPr>
            <w:tcW w:w="2564" w:type="dxa"/>
          </w:tcPr>
          <w:p w14:paraId="0014B2C7" w14:textId="77777777" w:rsidR="00BE4AD8" w:rsidRPr="00BE4AD8" w:rsidRDefault="00BE4AD8" w:rsidP="00BE4AD8">
            <w:pPr>
              <w:ind w:left="66"/>
              <w:rPr>
                <w:rFonts w:asciiTheme="minorHAnsi" w:hAnsiTheme="minorHAnsi"/>
                <w:sz w:val="22"/>
                <w:szCs w:val="22"/>
              </w:rPr>
            </w:pPr>
          </w:p>
        </w:tc>
        <w:tc>
          <w:tcPr>
            <w:tcW w:w="2332" w:type="dxa"/>
          </w:tcPr>
          <w:p w14:paraId="351B3DEE" w14:textId="11482619" w:rsidR="00BE4AD8" w:rsidRPr="00BE4AD8" w:rsidRDefault="00BE4AD8" w:rsidP="00BE4AD8">
            <w:pPr>
              <w:ind w:left="12"/>
              <w:rPr>
                <w:rFonts w:asciiTheme="minorHAnsi" w:hAnsiTheme="minorHAnsi"/>
                <w:sz w:val="22"/>
                <w:szCs w:val="22"/>
              </w:rPr>
            </w:pPr>
          </w:p>
        </w:tc>
      </w:tr>
    </w:tbl>
    <w:p w14:paraId="03AEAE18" w14:textId="740BDA4C" w:rsidR="00D35BE4" w:rsidRDefault="00D35BE4" w:rsidP="00D35BE4">
      <w:pPr>
        <w:rPr>
          <w:rFonts w:eastAsiaTheme="minorEastAsia"/>
          <w:color w:val="000000" w:themeColor="text1"/>
        </w:rPr>
      </w:pPr>
    </w:p>
    <w:p w14:paraId="4B612BFE" w14:textId="2FFCA290" w:rsidR="00F1077D" w:rsidRDefault="00BE4AD8" w:rsidP="00BE4AD8">
      <w:pPr>
        <w:pStyle w:val="ListParagraph"/>
        <w:numPr>
          <w:ilvl w:val="0"/>
          <w:numId w:val="1"/>
        </w:numPr>
      </w:pPr>
      <w:r>
        <w:t xml:space="preserve"> </w:t>
      </w:r>
      <w:r w:rsidR="00F1077D" w:rsidRPr="00BE4AD8">
        <w:rPr>
          <w:rFonts w:eastAsiaTheme="minorEastAsia"/>
          <w:color w:val="000000" w:themeColor="text1"/>
        </w:rPr>
        <w:t>Further clarification of proposal submittal requirements will be forthcoming in Addendum 6 shortly.</w:t>
      </w:r>
    </w:p>
    <w:p w14:paraId="2B4C5590" w14:textId="77777777" w:rsidR="00D35BE4" w:rsidRDefault="00D35BE4" w:rsidP="00D35BE4">
      <w:pPr>
        <w:ind w:left="5040"/>
      </w:pPr>
    </w:p>
    <w:p w14:paraId="3578EE52" w14:textId="5C63E142" w:rsidR="00D35BE4" w:rsidRDefault="43045F28" w:rsidP="00D35BE4">
      <w:pPr>
        <w:ind w:left="6480"/>
      </w:pPr>
      <w:r w:rsidRPr="43045F28">
        <w:rPr>
          <w:rFonts w:eastAsiaTheme="minorEastAsia"/>
          <w:color w:val="000000" w:themeColor="text1"/>
        </w:rPr>
        <w:t>_________________________</w:t>
      </w:r>
    </w:p>
    <w:p w14:paraId="4A431EF5" w14:textId="6FFFF9FD" w:rsidR="00D35BE4" w:rsidRDefault="00D35BE4" w:rsidP="00D35BE4">
      <w:r>
        <w:tab/>
      </w:r>
      <w:r>
        <w:tab/>
      </w:r>
      <w:r>
        <w:tab/>
      </w:r>
      <w:r>
        <w:tab/>
      </w:r>
      <w:r>
        <w:tab/>
      </w:r>
      <w:r>
        <w:tab/>
      </w:r>
      <w:r>
        <w:tab/>
      </w:r>
      <w:r>
        <w:tab/>
      </w:r>
      <w:r>
        <w:tab/>
      </w:r>
      <w:r w:rsidRPr="43045F28">
        <w:rPr>
          <w:rFonts w:eastAsiaTheme="minorEastAsia"/>
          <w:color w:val="000000" w:themeColor="text1"/>
        </w:rPr>
        <w:t>Douglas Murdock</w:t>
      </w:r>
    </w:p>
    <w:p w14:paraId="2ED9AE49" w14:textId="68248735" w:rsidR="00D35BE4" w:rsidRDefault="00D35BE4" w:rsidP="00D35BE4">
      <w:r>
        <w:tab/>
      </w:r>
      <w:r>
        <w:tab/>
      </w:r>
      <w:r>
        <w:tab/>
      </w:r>
      <w:r>
        <w:tab/>
      </w:r>
      <w:r>
        <w:tab/>
      </w:r>
      <w:r>
        <w:tab/>
      </w:r>
      <w:r>
        <w:tab/>
      </w:r>
      <w:r>
        <w:tab/>
      </w:r>
      <w:r>
        <w:tab/>
      </w:r>
      <w:r w:rsidRPr="43045F28">
        <w:rPr>
          <w:rFonts w:eastAsiaTheme="minorEastAsia"/>
          <w:color w:val="000000" w:themeColor="text1"/>
        </w:rPr>
        <w:t>Procurement Officer</w:t>
      </w:r>
    </w:p>
    <w:p w14:paraId="3F7077B4" w14:textId="77777777" w:rsidR="005F7788" w:rsidRDefault="005F7788" w:rsidP="00302C03"/>
    <w:sectPr w:rsidR="005F7788">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1DC881" w14:textId="77777777" w:rsidR="00B324DC" w:rsidRDefault="00B324DC" w:rsidP="00A62A01">
      <w:pPr>
        <w:spacing w:after="0" w:line="240" w:lineRule="auto"/>
      </w:pPr>
      <w:r>
        <w:separator/>
      </w:r>
    </w:p>
  </w:endnote>
  <w:endnote w:type="continuationSeparator" w:id="0">
    <w:p w14:paraId="0129015D" w14:textId="77777777" w:rsidR="00B324DC" w:rsidRDefault="00B324DC" w:rsidP="00A62A01">
      <w:pPr>
        <w:spacing w:after="0" w:line="240" w:lineRule="auto"/>
      </w:pPr>
      <w:r>
        <w:continuationSeparator/>
      </w:r>
    </w:p>
  </w:endnote>
  <w:endnote w:type="continuationNotice" w:id="1">
    <w:p w14:paraId="55F33B5D" w14:textId="77777777" w:rsidR="00B324DC" w:rsidRDefault="00B324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D392E" w14:textId="07EC179D" w:rsidR="00DA248B" w:rsidRDefault="00DA248B">
    <w:pPr>
      <w:pStyle w:val="Footer"/>
    </w:pPr>
    <w:r>
      <w:t>Addendum 5</w:t>
    </w:r>
    <w:r>
      <w:ptab w:relativeTo="margin" w:alignment="center" w:leader="none"/>
    </w:r>
    <w:r>
      <w:t xml:space="preserve">Page </w:t>
    </w:r>
    <w:r w:rsidRPr="43045F28">
      <w:rPr>
        <w:noProof/>
      </w:rPr>
      <w:fldChar w:fldCharType="begin"/>
    </w:r>
    <w:r>
      <w:instrText xml:space="preserve"> PAGE   \* MERGEFORMAT </w:instrText>
    </w:r>
    <w:r w:rsidRPr="43045F28">
      <w:fldChar w:fldCharType="separate"/>
    </w:r>
    <w:r w:rsidR="00CF5DA6">
      <w:rPr>
        <w:noProof/>
      </w:rPr>
      <w:t>1</w:t>
    </w:r>
    <w:r w:rsidRPr="43045F28">
      <w:rPr>
        <w:noProof/>
      </w:rPr>
      <w:fldChar w:fldCharType="end"/>
    </w:r>
    <w:r>
      <w:ptab w:relativeTo="margin" w:alignment="right" w:leader="none"/>
    </w:r>
    <w:r>
      <w:t>RFP-ERP16001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D21E0C" w14:textId="77777777" w:rsidR="00B324DC" w:rsidRDefault="00B324DC" w:rsidP="00A62A01">
      <w:pPr>
        <w:spacing w:after="0" w:line="240" w:lineRule="auto"/>
      </w:pPr>
      <w:r>
        <w:separator/>
      </w:r>
    </w:p>
  </w:footnote>
  <w:footnote w:type="continuationSeparator" w:id="0">
    <w:p w14:paraId="147DAE74" w14:textId="77777777" w:rsidR="00B324DC" w:rsidRDefault="00B324DC" w:rsidP="00A62A01">
      <w:pPr>
        <w:spacing w:after="0" w:line="240" w:lineRule="auto"/>
      </w:pPr>
      <w:r>
        <w:continuationSeparator/>
      </w:r>
    </w:p>
  </w:footnote>
  <w:footnote w:type="continuationNotice" w:id="1">
    <w:p w14:paraId="1D98E67B" w14:textId="77777777" w:rsidR="00B324DC" w:rsidRDefault="00B324DC">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647D9"/>
    <w:multiLevelType w:val="hybridMultilevel"/>
    <w:tmpl w:val="398AE810"/>
    <w:lvl w:ilvl="0" w:tplc="45FC2692">
      <w:start w:val="2"/>
      <w:numFmt w:val="decimal"/>
      <w:lvlText w:val="%1."/>
      <w:lvlJc w:val="left"/>
      <w:pPr>
        <w:ind w:left="720" w:hanging="360"/>
      </w:pPr>
    </w:lvl>
    <w:lvl w:ilvl="1" w:tplc="06F0666E">
      <w:start w:val="1"/>
      <w:numFmt w:val="lowerLetter"/>
      <w:lvlText w:val="%2."/>
      <w:lvlJc w:val="left"/>
      <w:pPr>
        <w:ind w:left="1440" w:hanging="360"/>
      </w:pPr>
    </w:lvl>
    <w:lvl w:ilvl="2" w:tplc="26340C0A">
      <w:start w:val="1"/>
      <w:numFmt w:val="lowerRoman"/>
      <w:lvlText w:val="%3."/>
      <w:lvlJc w:val="right"/>
      <w:pPr>
        <w:ind w:left="2160" w:hanging="180"/>
      </w:pPr>
    </w:lvl>
    <w:lvl w:ilvl="3" w:tplc="5AC0D77E">
      <w:start w:val="1"/>
      <w:numFmt w:val="decimal"/>
      <w:lvlText w:val="%4."/>
      <w:lvlJc w:val="left"/>
      <w:pPr>
        <w:ind w:left="2880" w:hanging="360"/>
      </w:pPr>
    </w:lvl>
    <w:lvl w:ilvl="4" w:tplc="B15CBCB6">
      <w:start w:val="1"/>
      <w:numFmt w:val="lowerLetter"/>
      <w:lvlText w:val="%5."/>
      <w:lvlJc w:val="left"/>
      <w:pPr>
        <w:ind w:left="3600" w:hanging="360"/>
      </w:pPr>
    </w:lvl>
    <w:lvl w:ilvl="5" w:tplc="1C9A9668">
      <w:start w:val="1"/>
      <w:numFmt w:val="lowerRoman"/>
      <w:lvlText w:val="%6."/>
      <w:lvlJc w:val="right"/>
      <w:pPr>
        <w:ind w:left="4320" w:hanging="180"/>
      </w:pPr>
    </w:lvl>
    <w:lvl w:ilvl="6" w:tplc="993C3C5E">
      <w:start w:val="1"/>
      <w:numFmt w:val="decimal"/>
      <w:lvlText w:val="%7."/>
      <w:lvlJc w:val="left"/>
      <w:pPr>
        <w:ind w:left="5040" w:hanging="360"/>
      </w:pPr>
    </w:lvl>
    <w:lvl w:ilvl="7" w:tplc="3B385F02">
      <w:start w:val="1"/>
      <w:numFmt w:val="lowerLetter"/>
      <w:lvlText w:val="%8."/>
      <w:lvlJc w:val="left"/>
      <w:pPr>
        <w:ind w:left="5760" w:hanging="360"/>
      </w:pPr>
    </w:lvl>
    <w:lvl w:ilvl="8" w:tplc="665654B0">
      <w:start w:val="1"/>
      <w:numFmt w:val="lowerRoman"/>
      <w:lvlText w:val="%9."/>
      <w:lvlJc w:val="right"/>
      <w:pPr>
        <w:ind w:left="6480" w:hanging="180"/>
      </w:pPr>
    </w:lvl>
  </w:abstractNum>
  <w:abstractNum w:abstractNumId="1" w15:restartNumberingAfterBreak="0">
    <w:nsid w:val="165A311C"/>
    <w:multiLevelType w:val="hybridMultilevel"/>
    <w:tmpl w:val="6A62C204"/>
    <w:lvl w:ilvl="0" w:tplc="87A8AE2E">
      <w:start w:val="1"/>
      <w:numFmt w:val="decimal"/>
      <w:lvlText w:val="%1."/>
      <w:lvlJc w:val="left"/>
      <w:pPr>
        <w:ind w:left="720" w:hanging="360"/>
      </w:pPr>
    </w:lvl>
    <w:lvl w:ilvl="1" w:tplc="C2C0D310">
      <w:start w:val="1"/>
      <w:numFmt w:val="lowerLetter"/>
      <w:lvlText w:val="%2."/>
      <w:lvlJc w:val="left"/>
      <w:pPr>
        <w:ind w:left="1440" w:hanging="360"/>
      </w:pPr>
    </w:lvl>
    <w:lvl w:ilvl="2" w:tplc="BDAC2256">
      <w:start w:val="1"/>
      <w:numFmt w:val="lowerRoman"/>
      <w:lvlText w:val="%3."/>
      <w:lvlJc w:val="right"/>
      <w:pPr>
        <w:ind w:left="2160" w:hanging="180"/>
      </w:pPr>
    </w:lvl>
    <w:lvl w:ilvl="3" w:tplc="BF7227EE">
      <w:start w:val="1"/>
      <w:numFmt w:val="decimal"/>
      <w:lvlText w:val="%4."/>
      <w:lvlJc w:val="left"/>
      <w:pPr>
        <w:ind w:left="2880" w:hanging="360"/>
      </w:pPr>
    </w:lvl>
    <w:lvl w:ilvl="4" w:tplc="2EF24318">
      <w:start w:val="1"/>
      <w:numFmt w:val="lowerLetter"/>
      <w:lvlText w:val="%5."/>
      <w:lvlJc w:val="left"/>
      <w:pPr>
        <w:ind w:left="3600" w:hanging="360"/>
      </w:pPr>
    </w:lvl>
    <w:lvl w:ilvl="5" w:tplc="44921160">
      <w:start w:val="1"/>
      <w:numFmt w:val="lowerRoman"/>
      <w:lvlText w:val="%6."/>
      <w:lvlJc w:val="right"/>
      <w:pPr>
        <w:ind w:left="4320" w:hanging="180"/>
      </w:pPr>
    </w:lvl>
    <w:lvl w:ilvl="6" w:tplc="ED80FC3C">
      <w:start w:val="1"/>
      <w:numFmt w:val="decimal"/>
      <w:lvlText w:val="%7."/>
      <w:lvlJc w:val="left"/>
      <w:pPr>
        <w:ind w:left="5040" w:hanging="360"/>
      </w:pPr>
    </w:lvl>
    <w:lvl w:ilvl="7" w:tplc="429CAEA4">
      <w:start w:val="1"/>
      <w:numFmt w:val="lowerLetter"/>
      <w:lvlText w:val="%8."/>
      <w:lvlJc w:val="left"/>
      <w:pPr>
        <w:ind w:left="5760" w:hanging="360"/>
      </w:pPr>
    </w:lvl>
    <w:lvl w:ilvl="8" w:tplc="3E188CB8">
      <w:start w:val="1"/>
      <w:numFmt w:val="lowerRoman"/>
      <w:lvlText w:val="%9."/>
      <w:lvlJc w:val="right"/>
      <w:pPr>
        <w:ind w:left="6480" w:hanging="180"/>
      </w:pPr>
    </w:lvl>
  </w:abstractNum>
  <w:abstractNum w:abstractNumId="2" w15:restartNumberingAfterBreak="0">
    <w:nsid w:val="3CE01675"/>
    <w:multiLevelType w:val="hybridMultilevel"/>
    <w:tmpl w:val="7A3239CA"/>
    <w:lvl w:ilvl="0" w:tplc="709A3228">
      <w:start w:val="1"/>
      <w:numFmt w:val="decimal"/>
      <w:lvlText w:val="%1."/>
      <w:lvlJc w:val="left"/>
      <w:pPr>
        <w:ind w:left="720" w:hanging="360"/>
      </w:pPr>
    </w:lvl>
    <w:lvl w:ilvl="1" w:tplc="706ECAB4">
      <w:start w:val="1"/>
      <w:numFmt w:val="lowerLetter"/>
      <w:lvlText w:val="%2."/>
      <w:lvlJc w:val="left"/>
      <w:pPr>
        <w:ind w:left="1440" w:hanging="360"/>
      </w:pPr>
    </w:lvl>
    <w:lvl w:ilvl="2" w:tplc="F67C9174">
      <w:start w:val="1"/>
      <w:numFmt w:val="lowerRoman"/>
      <w:lvlText w:val="%3."/>
      <w:lvlJc w:val="right"/>
      <w:pPr>
        <w:ind w:left="2160" w:hanging="180"/>
      </w:pPr>
    </w:lvl>
    <w:lvl w:ilvl="3" w:tplc="8E1E94AA">
      <w:start w:val="1"/>
      <w:numFmt w:val="decimal"/>
      <w:lvlText w:val="%4."/>
      <w:lvlJc w:val="left"/>
      <w:pPr>
        <w:ind w:left="2880" w:hanging="360"/>
      </w:pPr>
    </w:lvl>
    <w:lvl w:ilvl="4" w:tplc="C9E270E0">
      <w:start w:val="1"/>
      <w:numFmt w:val="lowerLetter"/>
      <w:lvlText w:val="%5."/>
      <w:lvlJc w:val="left"/>
      <w:pPr>
        <w:ind w:left="3600" w:hanging="360"/>
      </w:pPr>
    </w:lvl>
    <w:lvl w:ilvl="5" w:tplc="ADA6346E">
      <w:start w:val="1"/>
      <w:numFmt w:val="lowerRoman"/>
      <w:lvlText w:val="%6."/>
      <w:lvlJc w:val="right"/>
      <w:pPr>
        <w:ind w:left="4320" w:hanging="180"/>
      </w:pPr>
    </w:lvl>
    <w:lvl w:ilvl="6" w:tplc="D040D134">
      <w:start w:val="1"/>
      <w:numFmt w:val="decimal"/>
      <w:lvlText w:val="%7."/>
      <w:lvlJc w:val="left"/>
      <w:pPr>
        <w:ind w:left="5040" w:hanging="360"/>
      </w:pPr>
    </w:lvl>
    <w:lvl w:ilvl="7" w:tplc="513A8B7A">
      <w:start w:val="1"/>
      <w:numFmt w:val="lowerLetter"/>
      <w:lvlText w:val="%8."/>
      <w:lvlJc w:val="left"/>
      <w:pPr>
        <w:ind w:left="5760" w:hanging="360"/>
      </w:pPr>
    </w:lvl>
    <w:lvl w:ilvl="8" w:tplc="4C26A248">
      <w:start w:val="1"/>
      <w:numFmt w:val="lowerRoman"/>
      <w:lvlText w:val="%9."/>
      <w:lvlJc w:val="right"/>
      <w:pPr>
        <w:ind w:left="6480" w:hanging="180"/>
      </w:pPr>
    </w:lvl>
  </w:abstractNum>
  <w:abstractNum w:abstractNumId="3" w15:restartNumberingAfterBreak="0">
    <w:nsid w:val="47F6605A"/>
    <w:multiLevelType w:val="hybridMultilevel"/>
    <w:tmpl w:val="A6AC8A38"/>
    <w:lvl w:ilvl="0" w:tplc="147E721E">
      <w:start w:val="1"/>
      <w:numFmt w:val="decimal"/>
      <w:pStyle w:val="TableNumberedList"/>
      <w:lvlText w:val="Table %1."/>
      <w:lvlJc w:val="left"/>
      <w:pPr>
        <w:tabs>
          <w:tab w:val="num" w:pos="2070"/>
        </w:tabs>
        <w:ind w:left="2070" w:hanging="1080"/>
      </w:pPr>
      <w:rPr>
        <w:rFonts w:ascii="Arial" w:hAnsi="Arial" w:hint="default"/>
        <w:b/>
        <w:i w:val="0"/>
        <w:sz w:val="20"/>
      </w:rPr>
    </w:lvl>
    <w:lvl w:ilvl="1" w:tplc="04090003">
      <w:start w:val="1"/>
      <w:numFmt w:val="bullet"/>
      <w:lvlText w:val="o"/>
      <w:lvlJc w:val="left"/>
      <w:pPr>
        <w:tabs>
          <w:tab w:val="num" w:pos="1440"/>
        </w:tabs>
        <w:ind w:left="1440" w:hanging="360"/>
      </w:pPr>
      <w:rPr>
        <w:rFonts w:ascii="Courier New" w:hAnsi="Courier New" w:cs="Courier New" w:hint="default"/>
        <w:b/>
        <w:i w:val="0"/>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C03"/>
    <w:rsid w:val="00001AE4"/>
    <w:rsid w:val="00001BF5"/>
    <w:rsid w:val="00007AEF"/>
    <w:rsid w:val="00042EC8"/>
    <w:rsid w:val="00056B20"/>
    <w:rsid w:val="00070CAA"/>
    <w:rsid w:val="00077FD3"/>
    <w:rsid w:val="00081039"/>
    <w:rsid w:val="0008433D"/>
    <w:rsid w:val="000B3E76"/>
    <w:rsid w:val="000B4BDE"/>
    <w:rsid w:val="000D63A7"/>
    <w:rsid w:val="000D773B"/>
    <w:rsid w:val="00116D61"/>
    <w:rsid w:val="00120AB0"/>
    <w:rsid w:val="0012469F"/>
    <w:rsid w:val="00143641"/>
    <w:rsid w:val="0015090B"/>
    <w:rsid w:val="00153887"/>
    <w:rsid w:val="00154030"/>
    <w:rsid w:val="00155D4A"/>
    <w:rsid w:val="0015754B"/>
    <w:rsid w:val="00185A42"/>
    <w:rsid w:val="00186A3A"/>
    <w:rsid w:val="001B6B15"/>
    <w:rsid w:val="001D4D46"/>
    <w:rsid w:val="001F65A5"/>
    <w:rsid w:val="001F662A"/>
    <w:rsid w:val="00201CE3"/>
    <w:rsid w:val="002023DC"/>
    <w:rsid w:val="00202D3E"/>
    <w:rsid w:val="00211FDA"/>
    <w:rsid w:val="0022578D"/>
    <w:rsid w:val="00225ACC"/>
    <w:rsid w:val="00233764"/>
    <w:rsid w:val="0023395D"/>
    <w:rsid w:val="00235C0E"/>
    <w:rsid w:val="00237C05"/>
    <w:rsid w:val="002421E2"/>
    <w:rsid w:val="002509A0"/>
    <w:rsid w:val="00256E9B"/>
    <w:rsid w:val="002649A3"/>
    <w:rsid w:val="002B7A49"/>
    <w:rsid w:val="002C42C9"/>
    <w:rsid w:val="002C5870"/>
    <w:rsid w:val="002D2D40"/>
    <w:rsid w:val="002D398C"/>
    <w:rsid w:val="002D593E"/>
    <w:rsid w:val="002F11F7"/>
    <w:rsid w:val="002F2ACC"/>
    <w:rsid w:val="003000CF"/>
    <w:rsid w:val="00302C03"/>
    <w:rsid w:val="003229D3"/>
    <w:rsid w:val="00326EFA"/>
    <w:rsid w:val="00355146"/>
    <w:rsid w:val="00356CAF"/>
    <w:rsid w:val="00392C9F"/>
    <w:rsid w:val="00394352"/>
    <w:rsid w:val="00397B4C"/>
    <w:rsid w:val="003A5545"/>
    <w:rsid w:val="003B0FF1"/>
    <w:rsid w:val="003C165A"/>
    <w:rsid w:val="003D6F81"/>
    <w:rsid w:val="003F0C03"/>
    <w:rsid w:val="003F405E"/>
    <w:rsid w:val="00411A03"/>
    <w:rsid w:val="00417DF5"/>
    <w:rsid w:val="004202B7"/>
    <w:rsid w:val="00426018"/>
    <w:rsid w:val="004509F0"/>
    <w:rsid w:val="004672E1"/>
    <w:rsid w:val="00470AB8"/>
    <w:rsid w:val="0047502B"/>
    <w:rsid w:val="0049194E"/>
    <w:rsid w:val="004934C2"/>
    <w:rsid w:val="004954CA"/>
    <w:rsid w:val="00497FCC"/>
    <w:rsid w:val="004A20E7"/>
    <w:rsid w:val="004B5D34"/>
    <w:rsid w:val="004B7506"/>
    <w:rsid w:val="004C0E85"/>
    <w:rsid w:val="004D7920"/>
    <w:rsid w:val="004E52BE"/>
    <w:rsid w:val="004F1FD3"/>
    <w:rsid w:val="00503EE7"/>
    <w:rsid w:val="00514B4F"/>
    <w:rsid w:val="00525222"/>
    <w:rsid w:val="00525F47"/>
    <w:rsid w:val="00531FAE"/>
    <w:rsid w:val="00533360"/>
    <w:rsid w:val="00544F5B"/>
    <w:rsid w:val="00547142"/>
    <w:rsid w:val="00571958"/>
    <w:rsid w:val="00572AF4"/>
    <w:rsid w:val="00593DF1"/>
    <w:rsid w:val="00595F7F"/>
    <w:rsid w:val="005A20C4"/>
    <w:rsid w:val="005B259E"/>
    <w:rsid w:val="005B28E6"/>
    <w:rsid w:val="005B5602"/>
    <w:rsid w:val="005C173B"/>
    <w:rsid w:val="005F7788"/>
    <w:rsid w:val="00615808"/>
    <w:rsid w:val="00620344"/>
    <w:rsid w:val="00623998"/>
    <w:rsid w:val="006433A9"/>
    <w:rsid w:val="006629AD"/>
    <w:rsid w:val="00666105"/>
    <w:rsid w:val="0067452A"/>
    <w:rsid w:val="00686C97"/>
    <w:rsid w:val="0069593D"/>
    <w:rsid w:val="006A25F9"/>
    <w:rsid w:val="006B2498"/>
    <w:rsid w:val="006C545C"/>
    <w:rsid w:val="006C6567"/>
    <w:rsid w:val="006D34BF"/>
    <w:rsid w:val="006E230A"/>
    <w:rsid w:val="006F2147"/>
    <w:rsid w:val="006F55E0"/>
    <w:rsid w:val="006F5628"/>
    <w:rsid w:val="00700F8F"/>
    <w:rsid w:val="00711AEA"/>
    <w:rsid w:val="00722BD6"/>
    <w:rsid w:val="0073235E"/>
    <w:rsid w:val="00733661"/>
    <w:rsid w:val="0074127A"/>
    <w:rsid w:val="0076561E"/>
    <w:rsid w:val="00770546"/>
    <w:rsid w:val="00771F2A"/>
    <w:rsid w:val="00781560"/>
    <w:rsid w:val="00787091"/>
    <w:rsid w:val="007B0C9B"/>
    <w:rsid w:val="007B606B"/>
    <w:rsid w:val="007D3DF9"/>
    <w:rsid w:val="007D474E"/>
    <w:rsid w:val="007E5569"/>
    <w:rsid w:val="007F0AD2"/>
    <w:rsid w:val="007F4C7F"/>
    <w:rsid w:val="00802C3D"/>
    <w:rsid w:val="008069DC"/>
    <w:rsid w:val="00816B26"/>
    <w:rsid w:val="00842EA3"/>
    <w:rsid w:val="008571AB"/>
    <w:rsid w:val="008623C7"/>
    <w:rsid w:val="00870344"/>
    <w:rsid w:val="00875D41"/>
    <w:rsid w:val="00877BC8"/>
    <w:rsid w:val="0088185D"/>
    <w:rsid w:val="00886630"/>
    <w:rsid w:val="008B6651"/>
    <w:rsid w:val="008D1955"/>
    <w:rsid w:val="008E0B51"/>
    <w:rsid w:val="008F17F2"/>
    <w:rsid w:val="008F3DB2"/>
    <w:rsid w:val="00902198"/>
    <w:rsid w:val="00913F66"/>
    <w:rsid w:val="0097600D"/>
    <w:rsid w:val="00984526"/>
    <w:rsid w:val="00985CD2"/>
    <w:rsid w:val="009A0550"/>
    <w:rsid w:val="009A759F"/>
    <w:rsid w:val="009B0FAF"/>
    <w:rsid w:val="009B336E"/>
    <w:rsid w:val="009D1084"/>
    <w:rsid w:val="009D6484"/>
    <w:rsid w:val="009E29E4"/>
    <w:rsid w:val="009E450D"/>
    <w:rsid w:val="00A11163"/>
    <w:rsid w:val="00A1410D"/>
    <w:rsid w:val="00A167F2"/>
    <w:rsid w:val="00A17817"/>
    <w:rsid w:val="00A2513E"/>
    <w:rsid w:val="00A51BD9"/>
    <w:rsid w:val="00A61BD5"/>
    <w:rsid w:val="00A62A01"/>
    <w:rsid w:val="00A662DE"/>
    <w:rsid w:val="00A71E79"/>
    <w:rsid w:val="00A838B3"/>
    <w:rsid w:val="00A84379"/>
    <w:rsid w:val="00A868F8"/>
    <w:rsid w:val="00AB12AF"/>
    <w:rsid w:val="00AB1410"/>
    <w:rsid w:val="00AB4A4F"/>
    <w:rsid w:val="00AC0333"/>
    <w:rsid w:val="00B017D5"/>
    <w:rsid w:val="00B03C6F"/>
    <w:rsid w:val="00B15607"/>
    <w:rsid w:val="00B16498"/>
    <w:rsid w:val="00B265A4"/>
    <w:rsid w:val="00B324DC"/>
    <w:rsid w:val="00B409B0"/>
    <w:rsid w:val="00B46088"/>
    <w:rsid w:val="00B465D1"/>
    <w:rsid w:val="00B6337D"/>
    <w:rsid w:val="00B65457"/>
    <w:rsid w:val="00B729E2"/>
    <w:rsid w:val="00B7361D"/>
    <w:rsid w:val="00B8355E"/>
    <w:rsid w:val="00B83598"/>
    <w:rsid w:val="00BA1C61"/>
    <w:rsid w:val="00BB1277"/>
    <w:rsid w:val="00BB7E6C"/>
    <w:rsid w:val="00BC77F1"/>
    <w:rsid w:val="00BD0EE6"/>
    <w:rsid w:val="00BE4AD8"/>
    <w:rsid w:val="00BF03B3"/>
    <w:rsid w:val="00C01BCE"/>
    <w:rsid w:val="00C11028"/>
    <w:rsid w:val="00C20496"/>
    <w:rsid w:val="00C279E2"/>
    <w:rsid w:val="00C36A71"/>
    <w:rsid w:val="00C42800"/>
    <w:rsid w:val="00C445B0"/>
    <w:rsid w:val="00C54D95"/>
    <w:rsid w:val="00C70CF2"/>
    <w:rsid w:val="00C81143"/>
    <w:rsid w:val="00C825EB"/>
    <w:rsid w:val="00C84E5F"/>
    <w:rsid w:val="00C853C0"/>
    <w:rsid w:val="00CB338D"/>
    <w:rsid w:val="00CD7413"/>
    <w:rsid w:val="00CE465A"/>
    <w:rsid w:val="00CF2A66"/>
    <w:rsid w:val="00CF5DA6"/>
    <w:rsid w:val="00CF7C33"/>
    <w:rsid w:val="00D050F1"/>
    <w:rsid w:val="00D16010"/>
    <w:rsid w:val="00D160A7"/>
    <w:rsid w:val="00D20D54"/>
    <w:rsid w:val="00D23423"/>
    <w:rsid w:val="00D23B6C"/>
    <w:rsid w:val="00D26C84"/>
    <w:rsid w:val="00D30FB6"/>
    <w:rsid w:val="00D35BE4"/>
    <w:rsid w:val="00D610F2"/>
    <w:rsid w:val="00D71172"/>
    <w:rsid w:val="00D71E55"/>
    <w:rsid w:val="00D73BE9"/>
    <w:rsid w:val="00D75022"/>
    <w:rsid w:val="00D8374E"/>
    <w:rsid w:val="00D94468"/>
    <w:rsid w:val="00D97316"/>
    <w:rsid w:val="00DA248B"/>
    <w:rsid w:val="00DB11B9"/>
    <w:rsid w:val="00DD5439"/>
    <w:rsid w:val="00DE574C"/>
    <w:rsid w:val="00E0000A"/>
    <w:rsid w:val="00E0684F"/>
    <w:rsid w:val="00E06B12"/>
    <w:rsid w:val="00E132A0"/>
    <w:rsid w:val="00E219C1"/>
    <w:rsid w:val="00E2411A"/>
    <w:rsid w:val="00E32800"/>
    <w:rsid w:val="00E360E3"/>
    <w:rsid w:val="00E37D01"/>
    <w:rsid w:val="00E518B6"/>
    <w:rsid w:val="00E60346"/>
    <w:rsid w:val="00E61D89"/>
    <w:rsid w:val="00E622BF"/>
    <w:rsid w:val="00E63250"/>
    <w:rsid w:val="00E714E0"/>
    <w:rsid w:val="00E71FBF"/>
    <w:rsid w:val="00E73214"/>
    <w:rsid w:val="00E7510B"/>
    <w:rsid w:val="00E82366"/>
    <w:rsid w:val="00EA5F46"/>
    <w:rsid w:val="00EB5D9E"/>
    <w:rsid w:val="00EC57F7"/>
    <w:rsid w:val="00EC62FB"/>
    <w:rsid w:val="00EC66A1"/>
    <w:rsid w:val="00ED1308"/>
    <w:rsid w:val="00ED71F6"/>
    <w:rsid w:val="00EE2FC1"/>
    <w:rsid w:val="00EF1667"/>
    <w:rsid w:val="00EF645F"/>
    <w:rsid w:val="00F04E6B"/>
    <w:rsid w:val="00F070FF"/>
    <w:rsid w:val="00F1077D"/>
    <w:rsid w:val="00F15FF5"/>
    <w:rsid w:val="00F21F1A"/>
    <w:rsid w:val="00F2776E"/>
    <w:rsid w:val="00F46A71"/>
    <w:rsid w:val="00F5529C"/>
    <w:rsid w:val="00F87977"/>
    <w:rsid w:val="00F901AB"/>
    <w:rsid w:val="00F97683"/>
    <w:rsid w:val="00FB1963"/>
    <w:rsid w:val="00FB6A97"/>
    <w:rsid w:val="00FC531B"/>
    <w:rsid w:val="00FE1038"/>
    <w:rsid w:val="00FF263B"/>
    <w:rsid w:val="43045F28"/>
    <w:rsid w:val="4E3A3C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534F4"/>
  <w15:docId w15:val="{8546BD21-4404-4372-B901-576101B88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2A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2A01"/>
  </w:style>
  <w:style w:type="paragraph" w:styleId="Footer">
    <w:name w:val="footer"/>
    <w:basedOn w:val="Normal"/>
    <w:link w:val="FooterChar"/>
    <w:uiPriority w:val="99"/>
    <w:unhideWhenUsed/>
    <w:rsid w:val="00A62A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2A01"/>
  </w:style>
  <w:style w:type="paragraph" w:styleId="ListParagraph">
    <w:name w:val="List Paragraph"/>
    <w:basedOn w:val="Normal"/>
    <w:uiPriority w:val="34"/>
    <w:qFormat/>
    <w:pPr>
      <w:ind w:left="720"/>
      <w:contextualSpacing/>
    </w:p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Pr>
      <w:color w:val="0563C1" w:themeColor="hyperlink"/>
      <w:u w:val="single"/>
    </w:rPr>
  </w:style>
  <w:style w:type="paragraph" w:customStyle="1" w:styleId="TableNumberedList">
    <w:name w:val="Table Numbered List"/>
    <w:basedOn w:val="Normal"/>
    <w:next w:val="Normal"/>
    <w:rsid w:val="00686C97"/>
    <w:pPr>
      <w:keepNext/>
      <w:numPr>
        <w:numId w:val="4"/>
      </w:numPr>
      <w:spacing w:before="240" w:after="120" w:line="240" w:lineRule="auto"/>
    </w:pPr>
    <w:rPr>
      <w:rFonts w:ascii="Arial" w:eastAsia="Times New Roman" w:hAnsi="Arial" w:cs="Arial"/>
      <w:b/>
      <w:sz w:val="20"/>
    </w:rPr>
  </w:style>
  <w:style w:type="table" w:styleId="TableGrid">
    <w:name w:val="Table Grid"/>
    <w:basedOn w:val="TableNormal"/>
    <w:uiPriority w:val="39"/>
    <w:rsid w:val="00686C9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dcca.hawaii.gov/bre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labor.hawaii.gov/forms/"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tax.hawaii.gov/form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082727EB0B704429698FC6B12684DE4" ma:contentTypeVersion="0" ma:contentTypeDescription="Create a new document." ma:contentTypeScope="" ma:versionID="a77e581c4c556506a29b44a7019b92c3">
  <xsd:schema xmlns:xsd="http://www.w3.org/2001/XMLSchema" xmlns:xs="http://www.w3.org/2001/XMLSchema" xmlns:p="http://schemas.microsoft.com/office/2006/metadata/properties" targetNamespace="http://schemas.microsoft.com/office/2006/metadata/properties" ma:root="true" ma:fieldsID="e632581fadfa51a52ea46ddb307d92e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36E0E9-49B2-4E09-B004-4A37E673E1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E14AB8-90B0-4FB8-9381-CEDDD84D487D}"/>
</file>

<file path=customXml/itemProps3.xml><?xml version="1.0" encoding="utf-8"?>
<ds:datastoreItem xmlns:ds="http://schemas.openxmlformats.org/officeDocument/2006/customXml" ds:itemID="{717A912F-3A60-4DC6-ABD5-4DAA968D3E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2096</Words>
  <Characters>11949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Gagne, Debra A</dc:creator>
  <cp:lastModifiedBy>Gagne, Debra A</cp:lastModifiedBy>
  <cp:revision>11</cp:revision>
  <dcterms:created xsi:type="dcterms:W3CDTF">2016-03-28T21:55:00Z</dcterms:created>
  <dcterms:modified xsi:type="dcterms:W3CDTF">2016-03-30T20:16:00Z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0x010100C082727EB0B704429698FC6B12684DE4</vt:lpwstr>
  </property>
</Properties>
</file>